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E13A" w14:textId="54F3FA7D" w:rsidR="002B77C0" w:rsidRPr="00071250" w:rsidRDefault="00773409" w:rsidP="00AA748F">
      <w:pPr>
        <w:spacing w:after="0" w:line="240" w:lineRule="auto"/>
        <w:rPr>
          <w:b/>
          <w:color w:val="5A2259" w:themeColor="accent1"/>
          <w:sz w:val="32"/>
          <w:szCs w:val="32"/>
          <w:lang w:val="en-US"/>
        </w:rPr>
      </w:pPr>
      <w:r>
        <w:rPr>
          <w:b/>
          <w:color w:val="5A2259" w:themeColor="accent1"/>
          <w:sz w:val="32"/>
          <w:szCs w:val="32"/>
          <w:lang w:val="en-US"/>
        </w:rPr>
        <w:t>Expression of Interest (EOI): Test developers to participate in</w:t>
      </w:r>
      <w:r w:rsidR="00F0532C" w:rsidRPr="00071250">
        <w:rPr>
          <w:b/>
          <w:color w:val="5A2259" w:themeColor="accent1"/>
          <w:sz w:val="32"/>
          <w:szCs w:val="32"/>
          <w:lang w:val="en-US"/>
        </w:rPr>
        <w:t xml:space="preserve"> </w:t>
      </w:r>
      <w:r>
        <w:rPr>
          <w:b/>
          <w:color w:val="5A2259" w:themeColor="accent1"/>
          <w:sz w:val="32"/>
          <w:szCs w:val="32"/>
          <w:lang w:val="en-US"/>
        </w:rPr>
        <w:t>FIND-WHO Initiative on</w:t>
      </w:r>
      <w:r w:rsidR="00AF61FE">
        <w:rPr>
          <w:b/>
          <w:color w:val="5A2259" w:themeColor="accent1"/>
          <w:sz w:val="32"/>
          <w:szCs w:val="32"/>
          <w:lang w:val="en-US"/>
        </w:rPr>
        <w:t xml:space="preserve"> </w:t>
      </w:r>
      <w:r>
        <w:rPr>
          <w:b/>
          <w:color w:val="5A2259" w:themeColor="accent1"/>
          <w:sz w:val="32"/>
          <w:szCs w:val="32"/>
          <w:lang w:val="en-US"/>
        </w:rPr>
        <w:t>standard evaluation</w:t>
      </w:r>
      <w:r w:rsidR="00AF61FE">
        <w:rPr>
          <w:b/>
          <w:color w:val="5A2259" w:themeColor="accent1"/>
          <w:sz w:val="32"/>
          <w:szCs w:val="32"/>
          <w:lang w:val="en-US"/>
        </w:rPr>
        <w:t xml:space="preserve"> of </w:t>
      </w:r>
      <w:proofErr w:type="spellStart"/>
      <w:r w:rsidR="00AF61FE">
        <w:rPr>
          <w:b/>
          <w:color w:val="5A2259" w:themeColor="accent1"/>
          <w:sz w:val="32"/>
          <w:szCs w:val="32"/>
          <w:lang w:val="en-US"/>
        </w:rPr>
        <w:t>Zika</w:t>
      </w:r>
      <w:proofErr w:type="spellEnd"/>
      <w:r w:rsidR="00AF61FE">
        <w:rPr>
          <w:b/>
          <w:color w:val="5A2259" w:themeColor="accent1"/>
          <w:sz w:val="32"/>
          <w:szCs w:val="32"/>
          <w:lang w:val="en-US"/>
        </w:rPr>
        <w:t xml:space="preserve"> </w:t>
      </w:r>
      <w:r>
        <w:rPr>
          <w:b/>
          <w:color w:val="5A2259" w:themeColor="accent1"/>
          <w:sz w:val="32"/>
          <w:szCs w:val="32"/>
          <w:lang w:val="en-US"/>
        </w:rPr>
        <w:t>diagnostics</w:t>
      </w:r>
    </w:p>
    <w:p w14:paraId="3699B39F" w14:textId="77777777" w:rsidR="00107BBC" w:rsidRDefault="00107BBC" w:rsidP="00AA748F">
      <w:pPr>
        <w:spacing w:after="0" w:line="240" w:lineRule="auto"/>
        <w:rPr>
          <w:b/>
          <w:lang w:val="en-US"/>
        </w:rPr>
      </w:pPr>
    </w:p>
    <w:p w14:paraId="6E340F13" w14:textId="77777777" w:rsidR="00F0532C" w:rsidRPr="00071250" w:rsidRDefault="00071250" w:rsidP="00AA748F">
      <w:pPr>
        <w:spacing w:after="0" w:line="240" w:lineRule="auto"/>
        <w:rPr>
          <w:b/>
          <w:color w:val="43ABB6" w:themeColor="accent2"/>
          <w:sz w:val="24"/>
          <w:szCs w:val="24"/>
          <w:lang w:val="en-US"/>
        </w:rPr>
      </w:pPr>
      <w:r w:rsidRPr="00071250">
        <w:rPr>
          <w:b/>
          <w:color w:val="43ABB6" w:themeColor="accent2"/>
          <w:sz w:val="24"/>
          <w:szCs w:val="24"/>
          <w:lang w:val="en-US"/>
        </w:rPr>
        <w:t>BACKGROUND</w:t>
      </w:r>
    </w:p>
    <w:p w14:paraId="3A76A19E" w14:textId="24469522" w:rsidR="00AF61FE" w:rsidRDefault="00E117D7" w:rsidP="00E117D7">
      <w:pPr>
        <w:spacing w:after="0" w:line="240" w:lineRule="auto"/>
      </w:pPr>
      <w:r>
        <w:t xml:space="preserve">FIND is a global non-profit organization dedicated to accelerating the development, evaluation, and delivery of high-quality, affordable diagnostic tests for poverty-related diseases. Recently, </w:t>
      </w:r>
      <w:r w:rsidR="00AF61FE">
        <w:t xml:space="preserve">FIND is leading on a FIND-WHO initiative to conduct a standardized evaluation of currently available molecular and immunologic diagnostic tests for ZIKV in order to assess test performance and thereby better inform public health policy, surveillance programs, and clinical management of patients with suspected ZIKV infection. </w:t>
      </w:r>
    </w:p>
    <w:p w14:paraId="7D46F6C3" w14:textId="77777777" w:rsidR="00AF61FE" w:rsidRDefault="00AF61FE" w:rsidP="00E117D7">
      <w:pPr>
        <w:spacing w:after="0" w:line="240" w:lineRule="auto"/>
      </w:pPr>
    </w:p>
    <w:p w14:paraId="27077D62" w14:textId="1DEAFD4F" w:rsidR="005F41A6" w:rsidRDefault="00AF61FE" w:rsidP="00AA748F">
      <w:pPr>
        <w:spacing w:after="0" w:line="240" w:lineRule="auto"/>
      </w:pPr>
      <w:proofErr w:type="spellStart"/>
      <w:r w:rsidRPr="00AF61FE">
        <w:t>Zika</w:t>
      </w:r>
      <w:proofErr w:type="spellEnd"/>
      <w:r w:rsidRPr="00AF61FE">
        <w:t xml:space="preserve"> virus (ZIKV), once considered a cause of rare and mild infection, emerged in 2015-2016 as the cause of a global epidemic, with demonstrated capacity for rapid global spread and a cause of birth defects, other adverse pregnancy outcomes, and </w:t>
      </w:r>
      <w:proofErr w:type="spellStart"/>
      <w:r w:rsidRPr="00AF61FE">
        <w:t>Guillain-Barré</w:t>
      </w:r>
      <w:proofErr w:type="spellEnd"/>
      <w:r w:rsidRPr="00AF61FE">
        <w:t xml:space="preserve"> syndrome. In response, WHO declared </w:t>
      </w:r>
      <w:proofErr w:type="spellStart"/>
      <w:r w:rsidRPr="00AF61FE">
        <w:t>Zika</w:t>
      </w:r>
      <w:proofErr w:type="spellEnd"/>
      <w:r w:rsidRPr="00AF61FE">
        <w:t xml:space="preserve"> virus and its associated complications a Public Health Emergency of International Concern (PHEIC), and subsequently committed to a long-term program for ZIKV preparedness, prevention, and control. Despite the surge of research and development of ZIKV diagnostics, there is limited data on the optimal approach to ZIKV diagnostic testing</w:t>
      </w:r>
      <w:r w:rsidR="00DD5867">
        <w:t xml:space="preserve">. </w:t>
      </w:r>
    </w:p>
    <w:p w14:paraId="70B75F37" w14:textId="77777777" w:rsidR="00AA748F" w:rsidRPr="00A93100" w:rsidRDefault="00AA748F" w:rsidP="00AA748F">
      <w:pPr>
        <w:spacing w:after="0" w:line="240" w:lineRule="auto"/>
      </w:pPr>
    </w:p>
    <w:p w14:paraId="45CCA4EF" w14:textId="5A58E094" w:rsidR="00F0532C" w:rsidRDefault="00E117D7" w:rsidP="00AA748F">
      <w:pPr>
        <w:spacing w:after="0" w:line="240" w:lineRule="auto"/>
        <w:rPr>
          <w:lang w:val="en-US"/>
        </w:rPr>
      </w:pPr>
      <w:r>
        <w:rPr>
          <w:lang w:val="en-US"/>
        </w:rPr>
        <w:t xml:space="preserve">This </w:t>
      </w:r>
      <w:r w:rsidR="00AF61FE">
        <w:rPr>
          <w:lang w:val="en-US"/>
        </w:rPr>
        <w:t>expression of interest</w:t>
      </w:r>
      <w:r w:rsidR="00677988">
        <w:rPr>
          <w:lang w:val="en-US"/>
        </w:rPr>
        <w:t xml:space="preserve"> is issued by FIND </w:t>
      </w:r>
      <w:r w:rsidR="00AF61FE">
        <w:rPr>
          <w:lang w:val="en-US"/>
        </w:rPr>
        <w:t xml:space="preserve">for </w:t>
      </w:r>
      <w:r w:rsidR="00701C3D">
        <w:rPr>
          <w:lang w:val="en-US"/>
        </w:rPr>
        <w:t xml:space="preserve">test developers </w:t>
      </w:r>
      <w:r w:rsidR="00AF61FE">
        <w:rPr>
          <w:lang w:val="en-US"/>
        </w:rPr>
        <w:t xml:space="preserve">interested in evaluating their assays </w:t>
      </w:r>
      <w:r w:rsidR="00065F3A">
        <w:rPr>
          <w:lang w:val="en-US"/>
        </w:rPr>
        <w:t xml:space="preserve">using </w:t>
      </w:r>
      <w:r w:rsidR="00870C0B">
        <w:rPr>
          <w:lang w:val="en-US"/>
        </w:rPr>
        <w:t>ZIKV and arboviru</w:t>
      </w:r>
      <w:r w:rsidR="00701C3D">
        <w:rPr>
          <w:lang w:val="en-US"/>
        </w:rPr>
        <w:t xml:space="preserve">s reference panels and samples. </w:t>
      </w:r>
      <w:r w:rsidR="00DD5867">
        <w:rPr>
          <w:lang w:val="en-US"/>
        </w:rPr>
        <w:t>The results from this EOI will inform selection of assays for analytical and clinical evaluation studies, where w</w:t>
      </w:r>
      <w:r w:rsidR="00701C3D">
        <w:rPr>
          <w:lang w:val="en-US"/>
        </w:rPr>
        <w:t xml:space="preserve">e will provide blinded reference panels for testing on site, as well </w:t>
      </w:r>
      <w:r w:rsidR="00DD5867">
        <w:rPr>
          <w:lang w:val="en-US"/>
        </w:rPr>
        <w:t xml:space="preserve">coordinate external evaluations of the assay to external laboratories with access to well-characterized samples. Results from these studies will be shared with the global health community to inform ZIKV diagnostic testing approaches.  </w:t>
      </w:r>
    </w:p>
    <w:p w14:paraId="56E04AA7" w14:textId="77777777" w:rsidR="00AA748F" w:rsidRPr="00F0532C" w:rsidRDefault="00AA748F" w:rsidP="00AA748F">
      <w:pPr>
        <w:spacing w:after="0" w:line="240" w:lineRule="auto"/>
        <w:rPr>
          <w:lang w:val="en-US"/>
        </w:rPr>
      </w:pPr>
    </w:p>
    <w:p w14:paraId="2993B6C8" w14:textId="0C78C187" w:rsidR="00BE4444" w:rsidRPr="00071250" w:rsidRDefault="00071250" w:rsidP="00AA748F">
      <w:pPr>
        <w:spacing w:after="0" w:line="240" w:lineRule="auto"/>
        <w:rPr>
          <w:b/>
          <w:color w:val="43ABB6" w:themeColor="accent2"/>
          <w:sz w:val="24"/>
          <w:szCs w:val="24"/>
          <w:lang w:val="en-US"/>
        </w:rPr>
      </w:pPr>
      <w:r w:rsidRPr="00071250">
        <w:rPr>
          <w:b/>
          <w:color w:val="43ABB6" w:themeColor="accent2"/>
          <w:sz w:val="24"/>
          <w:szCs w:val="24"/>
          <w:lang w:val="en-US"/>
        </w:rPr>
        <w:t>OBJECTIVES AND PARTNER ELIGIBILITY</w:t>
      </w:r>
    </w:p>
    <w:p w14:paraId="5AC40C4D" w14:textId="3E61BC8E" w:rsidR="00DD5867" w:rsidRDefault="00323E28" w:rsidP="006D482D">
      <w:pPr>
        <w:spacing w:after="0" w:line="240" w:lineRule="auto"/>
        <w:rPr>
          <w:i/>
          <w:lang w:val="en-US"/>
        </w:rPr>
      </w:pPr>
      <w:r>
        <w:rPr>
          <w:i/>
          <w:lang w:val="en-US"/>
        </w:rPr>
        <w:t>The objective</w:t>
      </w:r>
      <w:r w:rsidR="00F0532C">
        <w:rPr>
          <w:i/>
          <w:lang w:val="en-US"/>
        </w:rPr>
        <w:t xml:space="preserve"> of the</w:t>
      </w:r>
      <w:r>
        <w:rPr>
          <w:i/>
          <w:lang w:val="en-US"/>
        </w:rPr>
        <w:t xml:space="preserve"> </w:t>
      </w:r>
      <w:r w:rsidR="00DD5867">
        <w:rPr>
          <w:i/>
          <w:lang w:val="en-US"/>
        </w:rPr>
        <w:t>call are:</w:t>
      </w:r>
    </w:p>
    <w:p w14:paraId="190170DC" w14:textId="7B070B54" w:rsidR="00AA748F" w:rsidRPr="00DD5867" w:rsidRDefault="00DD5867" w:rsidP="00DD5867">
      <w:pPr>
        <w:pStyle w:val="ListParagraph"/>
        <w:numPr>
          <w:ilvl w:val="0"/>
          <w:numId w:val="8"/>
        </w:numPr>
        <w:spacing w:after="0" w:line="240" w:lineRule="auto"/>
        <w:rPr>
          <w:i/>
          <w:lang w:val="en-US"/>
        </w:rPr>
      </w:pPr>
      <w:r>
        <w:rPr>
          <w:lang w:val="en-US"/>
        </w:rPr>
        <w:t>To gauge interest among test developers to participate in a FIND-led standardized evaluation of ZIKV diagnostics</w:t>
      </w:r>
    </w:p>
    <w:p w14:paraId="59C5241B" w14:textId="584A8874" w:rsidR="00DD5867" w:rsidRPr="00DD5867" w:rsidRDefault="00DD5867" w:rsidP="00DD5867">
      <w:pPr>
        <w:pStyle w:val="ListParagraph"/>
        <w:numPr>
          <w:ilvl w:val="0"/>
          <w:numId w:val="8"/>
        </w:numPr>
        <w:spacing w:after="0" w:line="240" w:lineRule="auto"/>
        <w:rPr>
          <w:i/>
          <w:lang w:val="en-US"/>
        </w:rPr>
      </w:pPr>
      <w:r>
        <w:rPr>
          <w:lang w:val="en-US"/>
        </w:rPr>
        <w:t>To include promising tests in the FIND-led evaluation using available reference panels and well-characterized samples</w:t>
      </w:r>
    </w:p>
    <w:p w14:paraId="67536570" w14:textId="77777777" w:rsidR="00323E28" w:rsidRDefault="00323E28" w:rsidP="00323E28">
      <w:pPr>
        <w:spacing w:after="0" w:line="240" w:lineRule="auto"/>
        <w:rPr>
          <w:u w:val="single"/>
          <w:lang w:val="en-US"/>
        </w:rPr>
      </w:pPr>
    </w:p>
    <w:p w14:paraId="5139AFC3" w14:textId="34F3262F" w:rsidR="00323E28" w:rsidRPr="0045036C" w:rsidRDefault="00323E28" w:rsidP="0045036C">
      <w:pPr>
        <w:spacing w:after="0" w:line="240" w:lineRule="auto"/>
        <w:rPr>
          <w:i/>
          <w:lang w:val="en-US"/>
        </w:rPr>
      </w:pPr>
      <w:r>
        <w:rPr>
          <w:i/>
          <w:lang w:val="en-US"/>
        </w:rPr>
        <w:t xml:space="preserve">Requirements for </w:t>
      </w:r>
      <w:r w:rsidR="00870C0B">
        <w:rPr>
          <w:i/>
          <w:lang w:val="en-US"/>
        </w:rPr>
        <w:t xml:space="preserve">developers </w:t>
      </w:r>
    </w:p>
    <w:p w14:paraId="25C6DB3F" w14:textId="169FFA04" w:rsidR="001710E0" w:rsidRPr="001710E0" w:rsidRDefault="00107BBC" w:rsidP="001710E0">
      <w:pPr>
        <w:pStyle w:val="ListParagraph"/>
        <w:numPr>
          <w:ilvl w:val="0"/>
          <w:numId w:val="1"/>
        </w:numPr>
        <w:spacing w:after="0" w:line="240" w:lineRule="auto"/>
        <w:rPr>
          <w:lang w:val="en-US"/>
        </w:rPr>
      </w:pPr>
      <w:r>
        <w:rPr>
          <w:lang w:val="en-US"/>
        </w:rPr>
        <w:t>Compliance with</w:t>
      </w:r>
      <w:r w:rsidR="00323E28">
        <w:rPr>
          <w:lang w:val="en-US"/>
        </w:rPr>
        <w:t xml:space="preserve"> good laboratory</w:t>
      </w:r>
      <w:r w:rsidR="00487D44">
        <w:rPr>
          <w:lang w:val="en-US"/>
        </w:rPr>
        <w:t xml:space="preserve"> practice (GLP)</w:t>
      </w:r>
    </w:p>
    <w:p w14:paraId="13BD961A" w14:textId="22ADF393" w:rsidR="00CB466B" w:rsidRDefault="001F49A7" w:rsidP="00CB466B">
      <w:pPr>
        <w:pStyle w:val="ListParagraph"/>
        <w:numPr>
          <w:ilvl w:val="0"/>
          <w:numId w:val="1"/>
        </w:numPr>
        <w:spacing w:after="0" w:line="240" w:lineRule="auto"/>
        <w:rPr>
          <w:lang w:val="en-US"/>
        </w:rPr>
      </w:pPr>
      <w:r>
        <w:rPr>
          <w:lang w:val="en-US"/>
        </w:rPr>
        <w:t>Ability to enter into agreement with FIN</w:t>
      </w:r>
      <w:r w:rsidR="004C68A9">
        <w:rPr>
          <w:lang w:val="en-US"/>
        </w:rPr>
        <w:t>D</w:t>
      </w:r>
      <w:r>
        <w:rPr>
          <w:lang w:val="en-US"/>
        </w:rPr>
        <w:t xml:space="preserve"> (legal </w:t>
      </w:r>
      <w:r w:rsidR="002D1199">
        <w:rPr>
          <w:lang w:val="en-US"/>
        </w:rPr>
        <w:t>entity</w:t>
      </w:r>
      <w:r>
        <w:rPr>
          <w:lang w:val="en-US"/>
        </w:rPr>
        <w:t xml:space="preserve"> or operating under a legal entity)</w:t>
      </w:r>
    </w:p>
    <w:p w14:paraId="4183685C" w14:textId="6F46806C" w:rsidR="00E8617B" w:rsidRDefault="004E6D0A" w:rsidP="00A93100">
      <w:pPr>
        <w:pStyle w:val="ListParagraph"/>
        <w:rPr>
          <w:lang w:val="en-US"/>
        </w:rPr>
      </w:pPr>
      <w:r w:rsidRPr="00CB466B">
        <w:rPr>
          <w:lang w:val="en-US"/>
        </w:rPr>
        <w:t xml:space="preserve">Operations (e.g. financial, logistics) in place to receive </w:t>
      </w:r>
      <w:r w:rsidR="00FE6E35" w:rsidRPr="00CB466B">
        <w:rPr>
          <w:lang w:val="en-US"/>
        </w:rPr>
        <w:t xml:space="preserve">and report on use of </w:t>
      </w:r>
      <w:r w:rsidRPr="00CB466B">
        <w:rPr>
          <w:lang w:val="en-US"/>
        </w:rPr>
        <w:t>external funding</w:t>
      </w:r>
    </w:p>
    <w:p w14:paraId="0C892C93" w14:textId="77777777" w:rsidR="00845035" w:rsidRPr="00845035" w:rsidRDefault="00845035" w:rsidP="00A93100">
      <w:pPr>
        <w:spacing w:after="0" w:line="240" w:lineRule="auto"/>
        <w:rPr>
          <w:b/>
          <w:color w:val="43ABB6" w:themeColor="accent2"/>
          <w:sz w:val="16"/>
          <w:szCs w:val="16"/>
          <w:lang w:val="en-US"/>
        </w:rPr>
      </w:pPr>
    </w:p>
    <w:p w14:paraId="34E54C76" w14:textId="77777777" w:rsidR="00870C0B" w:rsidRDefault="00071250" w:rsidP="00A93100">
      <w:pPr>
        <w:spacing w:after="0" w:line="240" w:lineRule="auto"/>
        <w:rPr>
          <w:b/>
          <w:color w:val="43ABB6" w:themeColor="accent2"/>
          <w:sz w:val="24"/>
          <w:szCs w:val="24"/>
          <w:lang w:val="en-US"/>
        </w:rPr>
      </w:pPr>
      <w:r w:rsidRPr="00071250">
        <w:rPr>
          <w:b/>
          <w:color w:val="43ABB6" w:themeColor="accent2"/>
          <w:sz w:val="24"/>
          <w:szCs w:val="24"/>
          <w:lang w:val="en-US"/>
        </w:rPr>
        <w:t xml:space="preserve">RESPONSIBILITIES </w:t>
      </w:r>
    </w:p>
    <w:p w14:paraId="50F6BECD" w14:textId="55AE5054" w:rsidR="00870C0B" w:rsidRDefault="00870C0B" w:rsidP="00A93100">
      <w:pPr>
        <w:pStyle w:val="ListParagraph"/>
        <w:numPr>
          <w:ilvl w:val="0"/>
          <w:numId w:val="1"/>
        </w:numPr>
        <w:rPr>
          <w:lang w:val="en-US"/>
        </w:rPr>
      </w:pPr>
      <w:r>
        <w:rPr>
          <w:lang w:val="en-US"/>
        </w:rPr>
        <w:t xml:space="preserve">FIND will establish material transfer agreements (MTAs) between the </w:t>
      </w:r>
      <w:r w:rsidR="000954B2">
        <w:rPr>
          <w:lang w:val="en-US"/>
        </w:rPr>
        <w:t>developer</w:t>
      </w:r>
      <w:r w:rsidR="00A93100">
        <w:rPr>
          <w:lang w:val="en-US"/>
        </w:rPr>
        <w:t>,</w:t>
      </w:r>
      <w:r w:rsidR="002167EF">
        <w:rPr>
          <w:lang w:val="en-US"/>
        </w:rPr>
        <w:t xml:space="preserve"> FIND, </w:t>
      </w:r>
      <w:r w:rsidR="00A93100">
        <w:rPr>
          <w:lang w:val="en-US"/>
        </w:rPr>
        <w:t xml:space="preserve">and </w:t>
      </w:r>
      <w:r w:rsidR="00773409">
        <w:rPr>
          <w:lang w:val="en-US"/>
        </w:rPr>
        <w:t xml:space="preserve">potential </w:t>
      </w:r>
      <w:r w:rsidR="00A93100">
        <w:rPr>
          <w:lang w:val="en-US"/>
        </w:rPr>
        <w:t>external evaluation sites</w:t>
      </w:r>
    </w:p>
    <w:p w14:paraId="1DED1D28" w14:textId="5C93AF49" w:rsidR="00870C0B" w:rsidRDefault="002167EF" w:rsidP="00A93100">
      <w:pPr>
        <w:pStyle w:val="ListParagraph"/>
        <w:numPr>
          <w:ilvl w:val="0"/>
          <w:numId w:val="1"/>
        </w:numPr>
        <w:rPr>
          <w:lang w:val="en-US"/>
        </w:rPr>
      </w:pPr>
      <w:proofErr w:type="spellStart"/>
      <w:r>
        <w:rPr>
          <w:lang w:val="en-US"/>
        </w:rPr>
        <w:t>Vitalant</w:t>
      </w:r>
      <w:proofErr w:type="spellEnd"/>
      <w:r>
        <w:rPr>
          <w:lang w:val="en-US"/>
        </w:rPr>
        <w:t xml:space="preserve"> Research Institute (</w:t>
      </w:r>
      <w:r w:rsidR="00870C0B">
        <w:rPr>
          <w:lang w:val="en-US"/>
        </w:rPr>
        <w:t>VRI</w:t>
      </w:r>
      <w:r>
        <w:rPr>
          <w:lang w:val="en-US"/>
        </w:rPr>
        <w:t>)</w:t>
      </w:r>
      <w:r w:rsidR="00870C0B">
        <w:rPr>
          <w:lang w:val="en-US"/>
        </w:rPr>
        <w:t xml:space="preserve"> will support reference panel shipment to the developer</w:t>
      </w:r>
      <w:r w:rsidR="00A93100">
        <w:rPr>
          <w:lang w:val="en-US"/>
        </w:rPr>
        <w:t xml:space="preserve"> </w:t>
      </w:r>
    </w:p>
    <w:p w14:paraId="7565D296" w14:textId="3067FCCF" w:rsidR="002167EF" w:rsidRDefault="002167EF" w:rsidP="00A93100">
      <w:pPr>
        <w:pStyle w:val="ListParagraph"/>
        <w:numPr>
          <w:ilvl w:val="0"/>
          <w:numId w:val="1"/>
        </w:numPr>
        <w:rPr>
          <w:lang w:val="en-US"/>
        </w:rPr>
      </w:pPr>
      <w:r>
        <w:rPr>
          <w:lang w:val="en-US"/>
        </w:rPr>
        <w:t xml:space="preserve">The developer will donate test kits to external evaluation sites </w:t>
      </w:r>
    </w:p>
    <w:p w14:paraId="70BB27CC" w14:textId="77777777" w:rsidR="002167EF" w:rsidRDefault="00AA748F" w:rsidP="002167EF">
      <w:pPr>
        <w:pStyle w:val="ListParagraph"/>
        <w:numPr>
          <w:ilvl w:val="0"/>
          <w:numId w:val="1"/>
        </w:numPr>
        <w:spacing w:after="0" w:line="240" w:lineRule="auto"/>
        <w:rPr>
          <w:lang w:val="en-US"/>
        </w:rPr>
      </w:pPr>
      <w:r>
        <w:rPr>
          <w:lang w:val="en-US"/>
        </w:rPr>
        <w:t xml:space="preserve">FIND will </w:t>
      </w:r>
      <w:r w:rsidR="005F6409">
        <w:rPr>
          <w:lang w:val="en-US"/>
        </w:rPr>
        <w:t xml:space="preserve">provide </w:t>
      </w:r>
      <w:r w:rsidR="00870C0B">
        <w:rPr>
          <w:lang w:val="en-US"/>
        </w:rPr>
        <w:t>developers</w:t>
      </w:r>
      <w:r w:rsidR="005F6409">
        <w:rPr>
          <w:lang w:val="en-US"/>
        </w:rPr>
        <w:t xml:space="preserve"> with a</w:t>
      </w:r>
      <w:r w:rsidR="00F26413">
        <w:rPr>
          <w:lang w:val="en-US"/>
        </w:rPr>
        <w:t xml:space="preserve"> generic</w:t>
      </w:r>
      <w:r w:rsidR="005F6409">
        <w:rPr>
          <w:lang w:val="en-US"/>
        </w:rPr>
        <w:t xml:space="preserve"> study protocol and </w:t>
      </w:r>
      <w:r w:rsidR="0027569E">
        <w:rPr>
          <w:lang w:val="en-US"/>
        </w:rPr>
        <w:t xml:space="preserve">work with </w:t>
      </w:r>
      <w:r w:rsidR="00870C0B">
        <w:rPr>
          <w:lang w:val="en-US"/>
        </w:rPr>
        <w:t xml:space="preserve">developers </w:t>
      </w:r>
      <w:r w:rsidR="0027569E">
        <w:rPr>
          <w:lang w:val="en-US"/>
        </w:rPr>
        <w:t xml:space="preserve">to harmonize the protocol to ensure comparability among different </w:t>
      </w:r>
      <w:r w:rsidR="00870C0B">
        <w:rPr>
          <w:lang w:val="en-US"/>
        </w:rPr>
        <w:t>sites</w:t>
      </w:r>
      <w:r w:rsidR="0027569E">
        <w:rPr>
          <w:lang w:val="en-US"/>
        </w:rPr>
        <w:t xml:space="preserve"> </w:t>
      </w:r>
    </w:p>
    <w:p w14:paraId="010E4DA2" w14:textId="3894E066" w:rsidR="00A93100" w:rsidRPr="002167EF" w:rsidRDefault="00870C0B" w:rsidP="002167EF">
      <w:pPr>
        <w:pStyle w:val="ListParagraph"/>
        <w:numPr>
          <w:ilvl w:val="0"/>
          <w:numId w:val="1"/>
        </w:numPr>
        <w:spacing w:after="0" w:line="240" w:lineRule="auto"/>
        <w:rPr>
          <w:lang w:val="en-US"/>
        </w:rPr>
      </w:pPr>
      <w:r w:rsidRPr="002167EF">
        <w:rPr>
          <w:lang w:val="en-US"/>
        </w:rPr>
        <w:t>VRI</w:t>
      </w:r>
      <w:r w:rsidR="002167EF">
        <w:rPr>
          <w:lang w:val="en-US"/>
        </w:rPr>
        <w:t xml:space="preserve"> will</w:t>
      </w:r>
      <w:r w:rsidR="00487D44" w:rsidRPr="002167EF">
        <w:rPr>
          <w:lang w:val="en-US"/>
        </w:rPr>
        <w:t xml:space="preserve"> lead data review</w:t>
      </w:r>
      <w:r w:rsidR="00714869" w:rsidRPr="002167EF">
        <w:rPr>
          <w:lang w:val="en-US"/>
        </w:rPr>
        <w:t xml:space="preserve"> and</w:t>
      </w:r>
      <w:r w:rsidR="00487D44" w:rsidRPr="002167EF">
        <w:rPr>
          <w:lang w:val="en-US"/>
        </w:rPr>
        <w:t xml:space="preserve"> </w:t>
      </w:r>
      <w:r w:rsidR="002004D1" w:rsidRPr="002167EF">
        <w:rPr>
          <w:lang w:val="en-US"/>
        </w:rPr>
        <w:t>analysis, and</w:t>
      </w:r>
      <w:r w:rsidR="00714869" w:rsidRPr="002167EF">
        <w:rPr>
          <w:lang w:val="en-US"/>
        </w:rPr>
        <w:t xml:space="preserve"> support data capture and</w:t>
      </w:r>
      <w:r w:rsidR="002004D1" w:rsidRPr="002167EF">
        <w:rPr>
          <w:lang w:val="en-US"/>
        </w:rPr>
        <w:t xml:space="preserve"> </w:t>
      </w:r>
      <w:r w:rsidR="00714869" w:rsidRPr="002167EF">
        <w:rPr>
          <w:lang w:val="en-US"/>
        </w:rPr>
        <w:t xml:space="preserve">security </w:t>
      </w:r>
      <w:r w:rsidR="00487D44" w:rsidRPr="002167EF">
        <w:rPr>
          <w:lang w:val="en-US"/>
        </w:rPr>
        <w:t xml:space="preserve">in collaboration with and </w:t>
      </w:r>
      <w:r w:rsidR="002004D1" w:rsidRPr="002167EF">
        <w:rPr>
          <w:lang w:val="en-US"/>
        </w:rPr>
        <w:t xml:space="preserve">among </w:t>
      </w:r>
      <w:r w:rsidR="00487D44" w:rsidRPr="002167EF">
        <w:rPr>
          <w:lang w:val="en-US"/>
        </w:rPr>
        <w:t>partners</w:t>
      </w:r>
      <w:r w:rsidR="00714869" w:rsidRPr="002167EF">
        <w:rPr>
          <w:lang w:val="en-US"/>
        </w:rPr>
        <w:t xml:space="preserve"> </w:t>
      </w:r>
    </w:p>
    <w:p w14:paraId="11063080" w14:textId="77777777" w:rsidR="00AA748F" w:rsidRDefault="00AA748F" w:rsidP="00A93100">
      <w:pPr>
        <w:pStyle w:val="ListParagraph"/>
        <w:spacing w:after="0" w:line="240" w:lineRule="auto"/>
        <w:rPr>
          <w:u w:val="single"/>
          <w:lang w:val="en-US"/>
        </w:rPr>
      </w:pPr>
    </w:p>
    <w:p w14:paraId="124730D7" w14:textId="77777777" w:rsidR="001710E0" w:rsidRDefault="001710E0" w:rsidP="00A93100">
      <w:pPr>
        <w:pStyle w:val="ListParagraph"/>
        <w:spacing w:after="0" w:line="240" w:lineRule="auto"/>
        <w:rPr>
          <w:u w:val="single"/>
          <w:lang w:val="en-US"/>
        </w:rPr>
      </w:pPr>
    </w:p>
    <w:p w14:paraId="50296339" w14:textId="77777777" w:rsidR="001710E0" w:rsidRPr="00773409" w:rsidRDefault="001710E0" w:rsidP="00A93100">
      <w:pPr>
        <w:pStyle w:val="ListParagraph"/>
        <w:spacing w:after="0" w:line="240" w:lineRule="auto"/>
        <w:rPr>
          <w:u w:val="single"/>
          <w:lang w:val="en-US"/>
        </w:rPr>
      </w:pPr>
    </w:p>
    <w:p w14:paraId="4C08BD56" w14:textId="77777777" w:rsidR="00870C0B" w:rsidRPr="001710E0" w:rsidRDefault="00870C0B" w:rsidP="00AA748F">
      <w:pPr>
        <w:spacing w:after="0" w:line="240" w:lineRule="auto"/>
        <w:rPr>
          <w:b/>
          <w:color w:val="43ABB6" w:themeColor="accent2"/>
          <w:sz w:val="24"/>
          <w:szCs w:val="24"/>
          <w:lang w:val="en-US"/>
        </w:rPr>
      </w:pPr>
      <w:r w:rsidRPr="001710E0">
        <w:rPr>
          <w:b/>
          <w:color w:val="43ABB6" w:themeColor="accent2"/>
          <w:sz w:val="24"/>
          <w:szCs w:val="24"/>
          <w:lang w:val="en-US"/>
        </w:rPr>
        <w:lastRenderedPageBreak/>
        <w:t>BENEFITS</w:t>
      </w:r>
    </w:p>
    <w:p w14:paraId="5FA9E0D2" w14:textId="77777777" w:rsidR="00870C0B" w:rsidRDefault="00870C0B" w:rsidP="00870C0B">
      <w:pPr>
        <w:spacing w:after="0" w:line="240" w:lineRule="auto"/>
        <w:rPr>
          <w:lang w:val="en-US"/>
        </w:rPr>
      </w:pPr>
      <w:r>
        <w:rPr>
          <w:lang w:val="en-US"/>
        </w:rPr>
        <w:t xml:space="preserve">Benefits for participating in this FIND initiative include: </w:t>
      </w:r>
    </w:p>
    <w:p w14:paraId="1322C1F1" w14:textId="2F023ED1" w:rsidR="00870C0B" w:rsidRDefault="00870C0B" w:rsidP="00870C0B">
      <w:pPr>
        <w:pStyle w:val="ListParagraph"/>
        <w:numPr>
          <w:ilvl w:val="0"/>
          <w:numId w:val="1"/>
        </w:numPr>
        <w:spacing w:after="0" w:line="240" w:lineRule="auto"/>
        <w:rPr>
          <w:lang w:val="en-US"/>
        </w:rPr>
      </w:pPr>
      <w:r>
        <w:rPr>
          <w:lang w:val="en-US"/>
        </w:rPr>
        <w:t xml:space="preserve">Access to samples panels developed through this project </w:t>
      </w:r>
    </w:p>
    <w:p w14:paraId="661D9907" w14:textId="61AF97B5" w:rsidR="00870C0B" w:rsidRPr="00C82C18" w:rsidRDefault="00870C0B">
      <w:pPr>
        <w:pStyle w:val="ListParagraph"/>
        <w:numPr>
          <w:ilvl w:val="0"/>
          <w:numId w:val="1"/>
        </w:numPr>
        <w:spacing w:after="0" w:line="240" w:lineRule="auto"/>
        <w:rPr>
          <w:lang w:val="en-US"/>
        </w:rPr>
      </w:pPr>
      <w:r>
        <w:rPr>
          <w:lang w:val="en-US"/>
        </w:rPr>
        <w:t xml:space="preserve">Ability to use data for regulatory submissions </w:t>
      </w:r>
    </w:p>
    <w:p w14:paraId="4802F9DB" w14:textId="77777777" w:rsidR="00A93100" w:rsidRDefault="00A93100" w:rsidP="00AA748F">
      <w:pPr>
        <w:spacing w:after="0" w:line="240" w:lineRule="auto"/>
        <w:rPr>
          <w:b/>
          <w:color w:val="43ABB6" w:themeColor="accent2"/>
          <w:sz w:val="24"/>
          <w:szCs w:val="24"/>
          <w:lang w:val="en-US"/>
        </w:rPr>
      </w:pPr>
    </w:p>
    <w:p w14:paraId="357F4B9C" w14:textId="06546CFA" w:rsidR="00F0532C" w:rsidRPr="00071250" w:rsidRDefault="00071250" w:rsidP="00AA748F">
      <w:pPr>
        <w:spacing w:after="0" w:line="240" w:lineRule="auto"/>
        <w:rPr>
          <w:b/>
          <w:color w:val="43ABB6" w:themeColor="accent2"/>
          <w:sz w:val="24"/>
          <w:szCs w:val="24"/>
          <w:lang w:val="en-US"/>
        </w:rPr>
      </w:pPr>
      <w:r w:rsidRPr="00071250">
        <w:rPr>
          <w:b/>
          <w:color w:val="43ABB6" w:themeColor="accent2"/>
          <w:sz w:val="24"/>
          <w:szCs w:val="24"/>
          <w:lang w:val="en-US"/>
        </w:rPr>
        <w:t>TIMELINES</w:t>
      </w:r>
    </w:p>
    <w:p w14:paraId="4A8BC073" w14:textId="77777777" w:rsidR="00E8617B" w:rsidRDefault="00E8617B" w:rsidP="00E8617B">
      <w:pPr>
        <w:spacing w:after="0" w:line="240" w:lineRule="auto"/>
        <w:rPr>
          <w:lang w:val="en-US"/>
        </w:rPr>
      </w:pPr>
      <w:r w:rsidRPr="003C3D96">
        <w:rPr>
          <w:lang w:val="en-US"/>
        </w:rPr>
        <w:t xml:space="preserve">The currently funded phase of this project will run until March 2020. </w:t>
      </w:r>
      <w:r>
        <w:rPr>
          <w:lang w:val="en-US"/>
        </w:rPr>
        <w:t xml:space="preserve">Main project milestones include: </w:t>
      </w:r>
    </w:p>
    <w:p w14:paraId="6E62E101" w14:textId="3EB29892" w:rsidR="00E8617B" w:rsidRPr="0019417D" w:rsidRDefault="00E8617B" w:rsidP="00E8617B">
      <w:pPr>
        <w:pStyle w:val="ListParagraph"/>
        <w:numPr>
          <w:ilvl w:val="0"/>
          <w:numId w:val="1"/>
        </w:numPr>
        <w:spacing w:after="0" w:line="240" w:lineRule="auto"/>
        <w:rPr>
          <w:lang w:val="en-US"/>
        </w:rPr>
      </w:pPr>
      <w:r>
        <w:rPr>
          <w:lang w:val="en-US"/>
        </w:rPr>
        <w:t xml:space="preserve">Expressions of interest submitted to FIND </w:t>
      </w:r>
      <w:r w:rsidR="00EE15B8">
        <w:rPr>
          <w:lang w:val="en-US"/>
        </w:rPr>
        <w:t>by</w:t>
      </w:r>
      <w:r>
        <w:rPr>
          <w:lang w:val="en-US"/>
        </w:rPr>
        <w:t xml:space="preserve"> </w:t>
      </w:r>
      <w:r w:rsidR="00F9552D">
        <w:rPr>
          <w:lang w:val="en-US"/>
        </w:rPr>
        <w:t>4</w:t>
      </w:r>
      <w:r w:rsidR="004C68A9" w:rsidRPr="00A93100">
        <w:rPr>
          <w:vertAlign w:val="superscript"/>
          <w:lang w:val="en-US"/>
        </w:rPr>
        <w:t>th</w:t>
      </w:r>
      <w:r w:rsidR="004C68A9">
        <w:rPr>
          <w:lang w:val="en-US"/>
        </w:rPr>
        <w:t xml:space="preserve"> </w:t>
      </w:r>
      <w:r w:rsidR="00F9552D">
        <w:rPr>
          <w:lang w:val="en-US"/>
        </w:rPr>
        <w:t>October</w:t>
      </w:r>
      <w:r w:rsidR="004C68A9">
        <w:rPr>
          <w:lang w:val="en-US"/>
        </w:rPr>
        <w:t xml:space="preserve"> 2019</w:t>
      </w:r>
      <w:r>
        <w:rPr>
          <w:lang w:val="en-US"/>
        </w:rPr>
        <w:t xml:space="preserve"> </w:t>
      </w:r>
    </w:p>
    <w:p w14:paraId="625ECC69" w14:textId="6E98C260" w:rsidR="00E8617B" w:rsidRDefault="004C68A9" w:rsidP="00E8617B">
      <w:pPr>
        <w:pStyle w:val="ListParagraph"/>
        <w:numPr>
          <w:ilvl w:val="0"/>
          <w:numId w:val="1"/>
        </w:numPr>
        <w:spacing w:after="0" w:line="240" w:lineRule="auto"/>
        <w:rPr>
          <w:lang w:val="en-US"/>
        </w:rPr>
      </w:pPr>
      <w:r>
        <w:rPr>
          <w:lang w:val="en-US"/>
        </w:rPr>
        <w:t>Contracts</w:t>
      </w:r>
      <w:r w:rsidR="00E8617B">
        <w:rPr>
          <w:lang w:val="en-US"/>
        </w:rPr>
        <w:t xml:space="preserve"> signed by </w:t>
      </w:r>
      <w:r w:rsidR="002167EF">
        <w:rPr>
          <w:lang w:val="en-US"/>
        </w:rPr>
        <w:t>5</w:t>
      </w:r>
      <w:r w:rsidRPr="00A93100">
        <w:rPr>
          <w:vertAlign w:val="superscript"/>
          <w:lang w:val="en-US"/>
        </w:rPr>
        <w:t>th</w:t>
      </w:r>
      <w:r w:rsidR="002167EF">
        <w:rPr>
          <w:lang w:val="en-US"/>
        </w:rPr>
        <w:t xml:space="preserve"> November</w:t>
      </w:r>
      <w:r>
        <w:rPr>
          <w:lang w:val="en-US"/>
        </w:rPr>
        <w:t xml:space="preserve"> 2019</w:t>
      </w:r>
      <w:r w:rsidR="00E8617B">
        <w:rPr>
          <w:lang w:val="en-US"/>
        </w:rPr>
        <w:t xml:space="preserve"> </w:t>
      </w:r>
    </w:p>
    <w:p w14:paraId="206E240D" w14:textId="3E0982A9" w:rsidR="00E8617B" w:rsidRPr="00E8617B" w:rsidRDefault="004C68A9" w:rsidP="00E8617B">
      <w:pPr>
        <w:pStyle w:val="ListParagraph"/>
        <w:numPr>
          <w:ilvl w:val="0"/>
          <w:numId w:val="1"/>
        </w:numPr>
        <w:spacing w:after="0" w:line="240" w:lineRule="auto"/>
        <w:rPr>
          <w:lang w:val="en-US"/>
        </w:rPr>
      </w:pPr>
      <w:r>
        <w:rPr>
          <w:lang w:val="en-US"/>
        </w:rPr>
        <w:t>Evaluation panels</w:t>
      </w:r>
      <w:r w:rsidR="00E8617B">
        <w:rPr>
          <w:lang w:val="en-US"/>
        </w:rPr>
        <w:t xml:space="preserve"> available by 1</w:t>
      </w:r>
      <w:r>
        <w:rPr>
          <w:lang w:val="en-US"/>
        </w:rPr>
        <w:t>5</w:t>
      </w:r>
      <w:r>
        <w:rPr>
          <w:vertAlign w:val="superscript"/>
          <w:lang w:val="en-US"/>
        </w:rPr>
        <w:t>th</w:t>
      </w:r>
      <w:r w:rsidR="00E8617B">
        <w:rPr>
          <w:lang w:val="en-US"/>
        </w:rPr>
        <w:t xml:space="preserve"> November 2019 </w:t>
      </w:r>
    </w:p>
    <w:p w14:paraId="76701A76" w14:textId="4414C774" w:rsidR="00E8617B" w:rsidRPr="006B0170" w:rsidRDefault="00E8617B" w:rsidP="00E8617B">
      <w:pPr>
        <w:pStyle w:val="ListParagraph"/>
        <w:numPr>
          <w:ilvl w:val="0"/>
          <w:numId w:val="1"/>
        </w:numPr>
        <w:spacing w:after="0" w:line="240" w:lineRule="auto"/>
        <w:rPr>
          <w:lang w:val="en-US"/>
        </w:rPr>
      </w:pPr>
      <w:r>
        <w:rPr>
          <w:lang w:val="en-US"/>
        </w:rPr>
        <w:t>Evaluation data available to FIND by 28</w:t>
      </w:r>
      <w:r w:rsidRPr="00E8617B">
        <w:rPr>
          <w:vertAlign w:val="superscript"/>
          <w:lang w:val="en-US"/>
        </w:rPr>
        <w:t>th</w:t>
      </w:r>
      <w:r>
        <w:rPr>
          <w:lang w:val="en-US"/>
        </w:rPr>
        <w:t xml:space="preserve"> February 2020</w:t>
      </w:r>
    </w:p>
    <w:p w14:paraId="4BB6013F" w14:textId="77777777" w:rsidR="00C04BBC" w:rsidRDefault="00C04BBC" w:rsidP="00C04BBC">
      <w:pPr>
        <w:pStyle w:val="ListParagraph"/>
        <w:spacing w:after="0" w:line="240" w:lineRule="auto"/>
        <w:rPr>
          <w:lang w:val="en-US"/>
        </w:rPr>
      </w:pPr>
    </w:p>
    <w:p w14:paraId="2279B0D4" w14:textId="400583CB" w:rsidR="006B1306" w:rsidRPr="001710E0" w:rsidRDefault="006B1306" w:rsidP="001710E0">
      <w:pPr>
        <w:spacing w:after="0" w:line="240" w:lineRule="auto"/>
        <w:rPr>
          <w:i/>
          <w:lang w:val="en-US"/>
        </w:rPr>
      </w:pPr>
      <w:r>
        <w:rPr>
          <w:i/>
          <w:lang w:val="en-US"/>
        </w:rPr>
        <w:t>Conditions:</w:t>
      </w:r>
      <w:r w:rsidR="001710E0">
        <w:rPr>
          <w:i/>
          <w:lang w:val="en-US"/>
        </w:rPr>
        <w:t xml:space="preserve"> </w:t>
      </w:r>
      <w:r w:rsidR="001710E0" w:rsidRPr="001710E0">
        <w:rPr>
          <w:lang w:val="en-US"/>
        </w:rPr>
        <w:t>Where developers con</w:t>
      </w:r>
      <w:r w:rsidR="001710E0">
        <w:rPr>
          <w:lang w:val="en-US"/>
        </w:rPr>
        <w:t xml:space="preserve">sider there is information to remain confidential, FIND can provide its standard Mutual Non-disclosure Agreement for execution. </w:t>
      </w:r>
      <w:bookmarkStart w:id="0" w:name="_GoBack"/>
      <w:bookmarkEnd w:id="0"/>
    </w:p>
    <w:p w14:paraId="318180FE" w14:textId="77777777" w:rsidR="00071250" w:rsidRDefault="00071250" w:rsidP="005F3B53">
      <w:pPr>
        <w:spacing w:after="0" w:line="240" w:lineRule="auto"/>
        <w:rPr>
          <w:b/>
          <w:u w:val="single"/>
          <w:lang w:val="en-US"/>
        </w:rPr>
      </w:pPr>
    </w:p>
    <w:p w14:paraId="503E7128" w14:textId="7450FB3D" w:rsidR="005F3B53" w:rsidRPr="00071250" w:rsidRDefault="00071250" w:rsidP="005F3B53">
      <w:pPr>
        <w:spacing w:after="0" w:line="240" w:lineRule="auto"/>
        <w:rPr>
          <w:color w:val="43ABB6" w:themeColor="accent2"/>
          <w:sz w:val="24"/>
          <w:szCs w:val="24"/>
          <w:lang w:val="en-US"/>
        </w:rPr>
      </w:pPr>
      <w:r w:rsidRPr="00071250">
        <w:rPr>
          <w:b/>
          <w:color w:val="43ABB6" w:themeColor="accent2"/>
          <w:sz w:val="24"/>
          <w:szCs w:val="24"/>
          <w:lang w:val="en-US"/>
        </w:rPr>
        <w:t xml:space="preserve">SEND SUBMISSIONS </w:t>
      </w:r>
      <w:r w:rsidR="00EE15B8">
        <w:rPr>
          <w:b/>
          <w:color w:val="43ABB6" w:themeColor="accent2"/>
          <w:sz w:val="24"/>
          <w:szCs w:val="24"/>
          <w:lang w:val="en-US"/>
        </w:rPr>
        <w:t>BY</w:t>
      </w:r>
      <w:r w:rsidR="004C68A9">
        <w:rPr>
          <w:b/>
          <w:color w:val="43ABB6" w:themeColor="accent2"/>
          <w:sz w:val="24"/>
          <w:szCs w:val="24"/>
          <w:lang w:val="en-US"/>
        </w:rPr>
        <w:t xml:space="preserve"> </w:t>
      </w:r>
      <w:r w:rsidR="00F9552D">
        <w:rPr>
          <w:b/>
          <w:color w:val="43ABB6" w:themeColor="accent2"/>
          <w:sz w:val="24"/>
          <w:szCs w:val="24"/>
          <w:lang w:val="en-US"/>
        </w:rPr>
        <w:t>4</w:t>
      </w:r>
      <w:r w:rsidR="004C68A9">
        <w:rPr>
          <w:b/>
          <w:color w:val="43ABB6" w:themeColor="accent2"/>
          <w:sz w:val="24"/>
          <w:szCs w:val="24"/>
          <w:vertAlign w:val="superscript"/>
          <w:lang w:val="en-US"/>
        </w:rPr>
        <w:t>th</w:t>
      </w:r>
      <w:r w:rsidR="006D46BD">
        <w:rPr>
          <w:b/>
          <w:color w:val="43ABB6" w:themeColor="accent2"/>
          <w:sz w:val="24"/>
          <w:szCs w:val="24"/>
          <w:lang w:val="en-US"/>
        </w:rPr>
        <w:t xml:space="preserve"> </w:t>
      </w:r>
      <w:r w:rsidR="00F9552D">
        <w:rPr>
          <w:b/>
          <w:color w:val="43ABB6" w:themeColor="accent2"/>
          <w:sz w:val="24"/>
          <w:szCs w:val="24"/>
          <w:lang w:val="en-US"/>
        </w:rPr>
        <w:t>October</w:t>
      </w:r>
      <w:r w:rsidR="006D46BD">
        <w:rPr>
          <w:b/>
          <w:color w:val="43ABB6" w:themeColor="accent2"/>
          <w:sz w:val="24"/>
          <w:szCs w:val="24"/>
          <w:lang w:val="en-US"/>
        </w:rPr>
        <w:t xml:space="preserve"> 2019</w:t>
      </w:r>
      <w:r w:rsidR="004A75FA" w:rsidRPr="004A75FA">
        <w:rPr>
          <w:b/>
          <w:color w:val="43ABB6" w:themeColor="accent2"/>
          <w:sz w:val="24"/>
          <w:szCs w:val="24"/>
          <w:lang w:val="en-US"/>
        </w:rPr>
        <w:t xml:space="preserve"> </w:t>
      </w:r>
      <w:r w:rsidRPr="004A75FA">
        <w:rPr>
          <w:b/>
          <w:color w:val="43ABB6" w:themeColor="accent2"/>
          <w:sz w:val="24"/>
          <w:szCs w:val="24"/>
          <w:lang w:val="en-US"/>
        </w:rPr>
        <w:t>TO:</w:t>
      </w:r>
      <w:r w:rsidRPr="00071250">
        <w:rPr>
          <w:color w:val="43ABB6" w:themeColor="accent2"/>
          <w:sz w:val="24"/>
          <w:szCs w:val="24"/>
          <w:lang w:val="en-US"/>
        </w:rPr>
        <w:t xml:space="preserve"> </w:t>
      </w:r>
    </w:p>
    <w:p w14:paraId="0687E00E" w14:textId="77777777" w:rsidR="005F3B53" w:rsidRDefault="005F3B53" w:rsidP="005F3B53">
      <w:pPr>
        <w:spacing w:after="0" w:line="240" w:lineRule="auto"/>
        <w:rPr>
          <w:lang w:val="en-US"/>
        </w:rPr>
      </w:pPr>
      <w:r>
        <w:rPr>
          <w:lang w:val="en-US"/>
        </w:rPr>
        <w:t>Devy Emperador</w:t>
      </w:r>
      <w:r w:rsidR="00E117D7">
        <w:rPr>
          <w:lang w:val="en-US"/>
        </w:rPr>
        <w:t xml:space="preserve"> </w:t>
      </w:r>
      <w:hyperlink r:id="rId8" w:history="1">
        <w:r w:rsidRPr="00CF2B5F">
          <w:rPr>
            <w:rStyle w:val="Hyperlink"/>
            <w:lang w:val="en-US"/>
          </w:rPr>
          <w:t>devy.emperador@finddx.org</w:t>
        </w:r>
      </w:hyperlink>
      <w:r>
        <w:rPr>
          <w:lang w:val="en-US"/>
        </w:rPr>
        <w:t xml:space="preserve"> </w:t>
      </w:r>
    </w:p>
    <w:p w14:paraId="25AB285E" w14:textId="77777777" w:rsidR="005F3B53" w:rsidRDefault="005F3B53" w:rsidP="005F3B53">
      <w:pPr>
        <w:spacing w:after="0" w:line="240" w:lineRule="auto"/>
        <w:rPr>
          <w:lang w:val="en-US"/>
        </w:rPr>
      </w:pPr>
    </w:p>
    <w:p w14:paraId="3238693A" w14:textId="77777777" w:rsidR="005F3B53" w:rsidRPr="00071250" w:rsidRDefault="00071250" w:rsidP="005F3B53">
      <w:pPr>
        <w:spacing w:after="0" w:line="240" w:lineRule="auto"/>
        <w:rPr>
          <w:b/>
          <w:color w:val="43ABB6" w:themeColor="accent2"/>
          <w:sz w:val="24"/>
          <w:szCs w:val="24"/>
          <w:lang w:val="en-US"/>
        </w:rPr>
      </w:pPr>
      <w:r w:rsidRPr="00071250">
        <w:rPr>
          <w:b/>
          <w:color w:val="43ABB6" w:themeColor="accent2"/>
          <w:sz w:val="24"/>
          <w:szCs w:val="24"/>
          <w:lang w:val="en-US"/>
        </w:rPr>
        <w:t xml:space="preserve">FOR QUESTIONS, CONTACT: </w:t>
      </w:r>
    </w:p>
    <w:p w14:paraId="3929B00F" w14:textId="77777777" w:rsidR="005F3B53" w:rsidRDefault="00E117D7" w:rsidP="005F3B53">
      <w:pPr>
        <w:spacing w:after="0" w:line="240" w:lineRule="auto"/>
        <w:rPr>
          <w:lang w:val="en-US"/>
        </w:rPr>
      </w:pPr>
      <w:r>
        <w:rPr>
          <w:lang w:val="en-US"/>
        </w:rPr>
        <w:t xml:space="preserve">Devy Emperador </w:t>
      </w:r>
      <w:hyperlink r:id="rId9" w:history="1">
        <w:r w:rsidR="005F3B53" w:rsidRPr="00CF2B5F">
          <w:rPr>
            <w:rStyle w:val="Hyperlink"/>
            <w:lang w:val="en-US"/>
          </w:rPr>
          <w:t>devy.emperador@finddx.org</w:t>
        </w:r>
      </w:hyperlink>
    </w:p>
    <w:p w14:paraId="0F540F10" w14:textId="77777777" w:rsidR="005F3B53" w:rsidRDefault="005F3B53" w:rsidP="005F3B53">
      <w:pPr>
        <w:spacing w:after="0" w:line="240" w:lineRule="auto"/>
        <w:rPr>
          <w:lang w:val="en-US"/>
        </w:rPr>
      </w:pPr>
      <w:r>
        <w:rPr>
          <w:lang w:val="en-US"/>
        </w:rPr>
        <w:t>Cassandra Kelly-Cirin</w:t>
      </w:r>
      <w:r w:rsidR="00071250">
        <w:rPr>
          <w:lang w:val="en-US"/>
        </w:rPr>
        <w:t>o</w:t>
      </w:r>
      <w:r w:rsidR="00E117D7">
        <w:rPr>
          <w:lang w:val="en-US"/>
        </w:rPr>
        <w:t xml:space="preserve"> </w:t>
      </w:r>
      <w:hyperlink r:id="rId10" w:history="1">
        <w:r w:rsidR="00071250" w:rsidRPr="00CF2B5F">
          <w:rPr>
            <w:rStyle w:val="Hyperlink"/>
            <w:lang w:val="en-US"/>
          </w:rPr>
          <w:t>cassandra.kelly@finddx.org</w:t>
        </w:r>
      </w:hyperlink>
      <w:r>
        <w:rPr>
          <w:lang w:val="en-US"/>
        </w:rPr>
        <w:t xml:space="preserve"> </w:t>
      </w:r>
    </w:p>
    <w:p w14:paraId="26D28399" w14:textId="77777777" w:rsidR="00913FC8" w:rsidRDefault="00913FC8" w:rsidP="005F3B53">
      <w:pPr>
        <w:spacing w:after="0" w:line="240" w:lineRule="auto"/>
        <w:rPr>
          <w:lang w:val="en-US"/>
        </w:rPr>
        <w:sectPr w:rsidR="00913FC8">
          <w:headerReference w:type="default" r:id="rId11"/>
          <w:footerReference w:type="default" r:id="rId12"/>
          <w:pgSz w:w="11906" w:h="16838"/>
          <w:pgMar w:top="1440" w:right="1440" w:bottom="1440" w:left="1440" w:header="720" w:footer="720" w:gutter="0"/>
          <w:cols w:space="720"/>
          <w:docGrid w:linePitch="360"/>
        </w:sectPr>
      </w:pPr>
    </w:p>
    <w:p w14:paraId="5E849F85" w14:textId="79175B90" w:rsidR="00773409" w:rsidRPr="00071250" w:rsidRDefault="00773409" w:rsidP="00773409">
      <w:pPr>
        <w:spacing w:after="0" w:line="240" w:lineRule="auto"/>
        <w:rPr>
          <w:b/>
          <w:color w:val="5A2259" w:themeColor="accent1"/>
          <w:sz w:val="32"/>
          <w:szCs w:val="32"/>
          <w:lang w:val="en-US"/>
        </w:rPr>
      </w:pPr>
      <w:r>
        <w:rPr>
          <w:b/>
          <w:color w:val="5A2259" w:themeColor="accent1"/>
          <w:sz w:val="32"/>
          <w:szCs w:val="32"/>
          <w:lang w:val="en-US"/>
        </w:rPr>
        <w:lastRenderedPageBreak/>
        <w:t>[TEMPLATE] EOI: Test developers to participate in</w:t>
      </w:r>
      <w:r w:rsidRPr="00071250">
        <w:rPr>
          <w:b/>
          <w:color w:val="5A2259" w:themeColor="accent1"/>
          <w:sz w:val="32"/>
          <w:szCs w:val="32"/>
          <w:lang w:val="en-US"/>
        </w:rPr>
        <w:t xml:space="preserve"> </w:t>
      </w:r>
      <w:r>
        <w:rPr>
          <w:b/>
          <w:color w:val="5A2259" w:themeColor="accent1"/>
          <w:sz w:val="32"/>
          <w:szCs w:val="32"/>
          <w:lang w:val="en-US"/>
        </w:rPr>
        <w:t xml:space="preserve">FIND-WHO Initiative on standard evaluation of </w:t>
      </w:r>
      <w:proofErr w:type="spellStart"/>
      <w:r>
        <w:rPr>
          <w:b/>
          <w:color w:val="5A2259" w:themeColor="accent1"/>
          <w:sz w:val="32"/>
          <w:szCs w:val="32"/>
          <w:lang w:val="en-US"/>
        </w:rPr>
        <w:t>Zika</w:t>
      </w:r>
      <w:proofErr w:type="spellEnd"/>
      <w:r>
        <w:rPr>
          <w:b/>
          <w:color w:val="5A2259" w:themeColor="accent1"/>
          <w:sz w:val="32"/>
          <w:szCs w:val="32"/>
          <w:lang w:val="en-US"/>
        </w:rPr>
        <w:t xml:space="preserve"> diagnostics</w:t>
      </w:r>
    </w:p>
    <w:p w14:paraId="377AABB5" w14:textId="77777777" w:rsidR="00FA33A6" w:rsidRDefault="00FA33A6" w:rsidP="009D430C">
      <w:pPr>
        <w:spacing w:after="0" w:line="240" w:lineRule="auto"/>
        <w:rPr>
          <w:lang w:val="en-US"/>
        </w:rPr>
      </w:pPr>
    </w:p>
    <w:p w14:paraId="680559A8" w14:textId="77777777" w:rsidR="008B232D" w:rsidRDefault="009D430C" w:rsidP="009D430C">
      <w:pPr>
        <w:spacing w:after="0" w:line="240" w:lineRule="auto"/>
        <w:rPr>
          <w:lang w:val="en-US"/>
        </w:rPr>
      </w:pPr>
      <w:r>
        <w:rPr>
          <w:lang w:val="en-US"/>
        </w:rPr>
        <w:t xml:space="preserve">NOTE: </w:t>
      </w:r>
      <w:r w:rsidR="008B232D">
        <w:rPr>
          <w:lang w:val="en-US"/>
        </w:rPr>
        <w:t>Up to three (3</w:t>
      </w:r>
      <w:r>
        <w:rPr>
          <w:lang w:val="en-US"/>
        </w:rPr>
        <w:t>) pages max</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043"/>
      </w:tblGrid>
      <w:tr w:rsidR="00FA33A6" w:rsidRPr="002167EF" w14:paraId="2488FF9B" w14:textId="77777777" w:rsidTr="00B13E62">
        <w:tc>
          <w:tcPr>
            <w:tcW w:w="8928" w:type="dxa"/>
            <w:gridSpan w:val="2"/>
            <w:shd w:val="clear" w:color="auto" w:fill="8CCDD4" w:themeFill="accent2" w:themeFillTint="99"/>
          </w:tcPr>
          <w:p w14:paraId="6E67F0AD"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General details</w:t>
            </w:r>
          </w:p>
        </w:tc>
      </w:tr>
      <w:tr w:rsidR="00FA33A6" w:rsidRPr="002167EF" w14:paraId="05A9A8F4" w14:textId="77777777" w:rsidTr="00B13E62">
        <w:tc>
          <w:tcPr>
            <w:tcW w:w="1885" w:type="dxa"/>
            <w:shd w:val="clear" w:color="auto" w:fill="auto"/>
          </w:tcPr>
          <w:p w14:paraId="36C2A05F"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 xml:space="preserve">Name of applicant: </w:t>
            </w:r>
          </w:p>
        </w:tc>
        <w:tc>
          <w:tcPr>
            <w:tcW w:w="7043" w:type="dxa"/>
            <w:shd w:val="clear" w:color="auto" w:fill="auto"/>
          </w:tcPr>
          <w:p w14:paraId="638F25CA" w14:textId="77777777" w:rsidR="00FA33A6" w:rsidRPr="002167EF" w:rsidRDefault="00FA33A6" w:rsidP="00B13E62">
            <w:pPr>
              <w:rPr>
                <w:rFonts w:eastAsia="Times New Roman" w:cstheme="minorHAnsi"/>
                <w:color w:val="000000"/>
                <w:sz w:val="20"/>
                <w:szCs w:val="20"/>
              </w:rPr>
            </w:pPr>
            <w:r w:rsidRPr="002167EF">
              <w:rPr>
                <w:i/>
                <w:color w:val="627786" w:themeColor="accent3" w:themeShade="BF"/>
                <w:sz w:val="20"/>
                <w:szCs w:val="20"/>
              </w:rPr>
              <w:t xml:space="preserve">List here the name of the main applicant and co-applicants. Can include name of company and/or principal investigator for lab-developed tests. </w:t>
            </w:r>
          </w:p>
        </w:tc>
      </w:tr>
      <w:tr w:rsidR="00FA33A6" w:rsidRPr="002167EF" w14:paraId="3683F7A1" w14:textId="77777777" w:rsidTr="00B13E62">
        <w:tc>
          <w:tcPr>
            <w:tcW w:w="1885" w:type="dxa"/>
            <w:shd w:val="clear" w:color="auto" w:fill="auto"/>
          </w:tcPr>
          <w:p w14:paraId="58C341B3"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 xml:space="preserve">Contact details: </w:t>
            </w:r>
          </w:p>
        </w:tc>
        <w:tc>
          <w:tcPr>
            <w:tcW w:w="7043" w:type="dxa"/>
            <w:shd w:val="clear" w:color="auto" w:fill="auto"/>
          </w:tcPr>
          <w:p w14:paraId="55BC5E8C" w14:textId="77777777" w:rsidR="00FA33A6" w:rsidRPr="002167EF" w:rsidRDefault="00FA33A6" w:rsidP="00B13E62">
            <w:pPr>
              <w:spacing w:after="0" w:line="240" w:lineRule="auto"/>
              <w:rPr>
                <w:rFonts w:eastAsia="Times New Roman" w:cstheme="minorHAnsi"/>
                <w:color w:val="000000"/>
                <w:sz w:val="20"/>
                <w:szCs w:val="20"/>
              </w:rPr>
            </w:pPr>
            <w:r w:rsidRPr="002167EF">
              <w:rPr>
                <w:i/>
                <w:color w:val="627786" w:themeColor="accent3" w:themeShade="BF"/>
                <w:sz w:val="20"/>
                <w:szCs w:val="20"/>
              </w:rPr>
              <w:t>Provide here contact details of corresponding investigators for further communication with FIND.</w:t>
            </w:r>
          </w:p>
        </w:tc>
      </w:tr>
    </w:tbl>
    <w:p w14:paraId="7FBF9BFF" w14:textId="77777777" w:rsidR="00FA33A6" w:rsidRPr="00D77522" w:rsidRDefault="00FA33A6" w:rsidP="00FA33A6">
      <w:pPr>
        <w:spacing w:after="0" w:line="240" w:lineRule="auto"/>
        <w:rPr>
          <w:rFonts w:cstheme="minorHAnsi"/>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043"/>
      </w:tblGrid>
      <w:tr w:rsidR="00FA33A6" w:rsidRPr="002167EF" w14:paraId="00ED20C9" w14:textId="77777777" w:rsidTr="00B13E62">
        <w:tc>
          <w:tcPr>
            <w:tcW w:w="8928" w:type="dxa"/>
            <w:gridSpan w:val="2"/>
            <w:shd w:val="clear" w:color="auto" w:fill="8CCDD4" w:themeFill="accent2" w:themeFillTint="99"/>
          </w:tcPr>
          <w:p w14:paraId="74D094E6"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Test details</w:t>
            </w:r>
          </w:p>
        </w:tc>
      </w:tr>
      <w:tr w:rsidR="00FA33A6" w:rsidRPr="002167EF" w14:paraId="1123D599" w14:textId="77777777" w:rsidTr="00B13E62">
        <w:tc>
          <w:tcPr>
            <w:tcW w:w="1885" w:type="dxa"/>
            <w:shd w:val="clear" w:color="auto" w:fill="auto"/>
          </w:tcPr>
          <w:p w14:paraId="240F81C8"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Name of test</w:t>
            </w:r>
          </w:p>
        </w:tc>
        <w:tc>
          <w:tcPr>
            <w:tcW w:w="7043" w:type="dxa"/>
            <w:shd w:val="clear" w:color="auto" w:fill="auto"/>
          </w:tcPr>
          <w:p w14:paraId="01F2A96E"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Provide here the name of test.</w:t>
            </w:r>
          </w:p>
          <w:p w14:paraId="555AA2C9" w14:textId="77777777" w:rsidR="00FA33A6" w:rsidRPr="002167EF" w:rsidRDefault="00FA33A6" w:rsidP="00B13E62">
            <w:pPr>
              <w:spacing w:after="0" w:line="240" w:lineRule="auto"/>
              <w:rPr>
                <w:rFonts w:eastAsia="Times New Roman" w:cstheme="minorHAnsi"/>
                <w:b/>
                <w:color w:val="000000"/>
                <w:sz w:val="20"/>
                <w:szCs w:val="20"/>
              </w:rPr>
            </w:pPr>
          </w:p>
        </w:tc>
      </w:tr>
      <w:tr w:rsidR="00FA33A6" w:rsidRPr="002167EF" w14:paraId="0AD5E032" w14:textId="77777777" w:rsidTr="00B13E62">
        <w:tc>
          <w:tcPr>
            <w:tcW w:w="1885" w:type="dxa"/>
            <w:shd w:val="clear" w:color="auto" w:fill="auto"/>
          </w:tcPr>
          <w:p w14:paraId="26C615D7"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Test description</w:t>
            </w:r>
          </w:p>
        </w:tc>
        <w:tc>
          <w:tcPr>
            <w:tcW w:w="7043" w:type="dxa"/>
            <w:shd w:val="clear" w:color="auto" w:fill="auto"/>
          </w:tcPr>
          <w:p w14:paraId="1840A8FB"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 xml:space="preserve">Briefly describe the assay. Should include information on: </w:t>
            </w:r>
          </w:p>
          <w:p w14:paraId="039F70CA" w14:textId="040956AB" w:rsidR="00FA33A6" w:rsidRPr="002167EF" w:rsidRDefault="00FA33A6" w:rsidP="00FA33A6">
            <w:pPr>
              <w:pStyle w:val="ListParagraph"/>
              <w:numPr>
                <w:ilvl w:val="0"/>
                <w:numId w:val="6"/>
              </w:numPr>
              <w:spacing w:after="0" w:line="240" w:lineRule="auto"/>
              <w:rPr>
                <w:rFonts w:eastAsia="Times New Roman" w:cstheme="minorHAnsi"/>
                <w:b/>
                <w:color w:val="000000"/>
                <w:sz w:val="20"/>
                <w:szCs w:val="20"/>
              </w:rPr>
            </w:pPr>
            <w:r w:rsidRPr="002167EF">
              <w:rPr>
                <w:i/>
                <w:color w:val="627786" w:themeColor="accent3" w:themeShade="BF"/>
                <w:sz w:val="20"/>
                <w:szCs w:val="20"/>
              </w:rPr>
              <w:t>Test type [</w:t>
            </w:r>
            <w:r w:rsidR="00773409" w:rsidRPr="002167EF">
              <w:rPr>
                <w:i/>
                <w:color w:val="627786" w:themeColor="accent3" w:themeShade="BF"/>
                <w:sz w:val="20"/>
                <w:szCs w:val="20"/>
              </w:rPr>
              <w:t xml:space="preserve">NAT reagents, </w:t>
            </w:r>
            <w:r w:rsidRPr="002167EF">
              <w:rPr>
                <w:i/>
                <w:color w:val="627786" w:themeColor="accent3" w:themeShade="BF"/>
                <w:sz w:val="20"/>
                <w:szCs w:val="20"/>
              </w:rPr>
              <w:t>ELISA kit, ELISA reagents</w:t>
            </w:r>
            <w:r w:rsidR="00773409" w:rsidRPr="002167EF">
              <w:rPr>
                <w:i/>
                <w:color w:val="627786" w:themeColor="accent3" w:themeShade="BF"/>
                <w:sz w:val="20"/>
                <w:szCs w:val="20"/>
              </w:rPr>
              <w:t>, etc.</w:t>
            </w:r>
            <w:r w:rsidRPr="002167EF">
              <w:rPr>
                <w:i/>
                <w:color w:val="627786" w:themeColor="accent3" w:themeShade="BF"/>
                <w:sz w:val="20"/>
                <w:szCs w:val="20"/>
              </w:rPr>
              <w:t>]</w:t>
            </w:r>
          </w:p>
          <w:p w14:paraId="16B6B36D" w14:textId="754E8AED" w:rsidR="00FA33A6" w:rsidRPr="002167EF" w:rsidRDefault="00FA33A6" w:rsidP="00FA33A6">
            <w:pPr>
              <w:pStyle w:val="ListParagraph"/>
              <w:numPr>
                <w:ilvl w:val="0"/>
                <w:numId w:val="6"/>
              </w:numPr>
              <w:spacing w:after="0" w:line="240" w:lineRule="auto"/>
              <w:rPr>
                <w:rFonts w:eastAsia="Times New Roman" w:cstheme="minorHAnsi"/>
                <w:b/>
                <w:color w:val="000000"/>
                <w:sz w:val="20"/>
                <w:szCs w:val="20"/>
                <w:lang w:val="fr-CA"/>
              </w:rPr>
            </w:pPr>
            <w:proofErr w:type="spellStart"/>
            <w:r w:rsidRPr="002167EF">
              <w:rPr>
                <w:i/>
                <w:color w:val="627786" w:themeColor="accent3" w:themeShade="BF"/>
                <w:sz w:val="20"/>
                <w:szCs w:val="20"/>
                <w:lang w:val="fr-CA"/>
              </w:rPr>
              <w:t>Sample</w:t>
            </w:r>
            <w:proofErr w:type="spellEnd"/>
            <w:r w:rsidRPr="002167EF">
              <w:rPr>
                <w:i/>
                <w:color w:val="627786" w:themeColor="accent3" w:themeShade="BF"/>
                <w:sz w:val="20"/>
                <w:szCs w:val="20"/>
                <w:lang w:val="fr-CA"/>
              </w:rPr>
              <w:t xml:space="preserve"> </w:t>
            </w:r>
            <w:proofErr w:type="spellStart"/>
            <w:r w:rsidRPr="002167EF">
              <w:rPr>
                <w:i/>
                <w:color w:val="627786" w:themeColor="accent3" w:themeShade="BF"/>
                <w:sz w:val="20"/>
                <w:szCs w:val="20"/>
                <w:lang w:val="fr-CA"/>
              </w:rPr>
              <w:t>analyte</w:t>
            </w:r>
            <w:proofErr w:type="spellEnd"/>
            <w:r w:rsidRPr="002167EF">
              <w:rPr>
                <w:i/>
                <w:color w:val="627786" w:themeColor="accent3" w:themeShade="BF"/>
                <w:sz w:val="20"/>
                <w:szCs w:val="20"/>
                <w:lang w:val="fr-CA"/>
              </w:rPr>
              <w:t xml:space="preserve"> [ZIKV RNA, </w:t>
            </w:r>
            <w:proofErr w:type="spellStart"/>
            <w:r w:rsidRPr="002167EF">
              <w:rPr>
                <w:i/>
                <w:color w:val="627786" w:themeColor="accent3" w:themeShade="BF"/>
                <w:sz w:val="20"/>
                <w:szCs w:val="20"/>
                <w:lang w:val="fr-CA"/>
              </w:rPr>
              <w:t>IgG</w:t>
            </w:r>
            <w:proofErr w:type="spellEnd"/>
            <w:r w:rsidRPr="002167EF">
              <w:rPr>
                <w:i/>
                <w:color w:val="627786" w:themeColor="accent3" w:themeShade="BF"/>
                <w:sz w:val="20"/>
                <w:szCs w:val="20"/>
                <w:lang w:val="fr-CA"/>
              </w:rPr>
              <w:t xml:space="preserve">, </w:t>
            </w:r>
            <w:proofErr w:type="spellStart"/>
            <w:r w:rsidRPr="002167EF">
              <w:rPr>
                <w:i/>
                <w:color w:val="627786" w:themeColor="accent3" w:themeShade="BF"/>
                <w:sz w:val="20"/>
                <w:szCs w:val="20"/>
                <w:lang w:val="fr-CA"/>
              </w:rPr>
              <w:t>IgM</w:t>
            </w:r>
            <w:proofErr w:type="spellEnd"/>
            <w:r w:rsidRPr="002167EF">
              <w:rPr>
                <w:i/>
                <w:color w:val="627786" w:themeColor="accent3" w:themeShade="BF"/>
                <w:sz w:val="20"/>
                <w:szCs w:val="20"/>
                <w:lang w:val="fr-CA"/>
              </w:rPr>
              <w:t>, etc.]</w:t>
            </w:r>
          </w:p>
          <w:p w14:paraId="7A0E1F5B" w14:textId="77777777" w:rsidR="00FA33A6" w:rsidRPr="002167EF" w:rsidRDefault="00FA33A6" w:rsidP="00FA33A6">
            <w:pPr>
              <w:pStyle w:val="ListParagraph"/>
              <w:numPr>
                <w:ilvl w:val="0"/>
                <w:numId w:val="6"/>
              </w:numPr>
              <w:spacing w:after="0" w:line="240" w:lineRule="auto"/>
              <w:rPr>
                <w:rFonts w:eastAsia="Times New Roman" w:cstheme="minorHAnsi"/>
                <w:b/>
                <w:color w:val="000000"/>
                <w:sz w:val="20"/>
                <w:szCs w:val="20"/>
              </w:rPr>
            </w:pPr>
            <w:r w:rsidRPr="002167EF">
              <w:rPr>
                <w:i/>
                <w:color w:val="627786" w:themeColor="accent3" w:themeShade="BF"/>
                <w:sz w:val="20"/>
                <w:szCs w:val="20"/>
              </w:rPr>
              <w:t>Sample type, etc.</w:t>
            </w:r>
          </w:p>
        </w:tc>
      </w:tr>
      <w:tr w:rsidR="00FA33A6" w:rsidRPr="002167EF" w14:paraId="1BFCE763" w14:textId="77777777" w:rsidTr="00B13E62">
        <w:trPr>
          <w:trHeight w:val="1709"/>
        </w:trPr>
        <w:tc>
          <w:tcPr>
            <w:tcW w:w="1885" w:type="dxa"/>
            <w:shd w:val="clear" w:color="auto" w:fill="auto"/>
          </w:tcPr>
          <w:p w14:paraId="4A0694A3"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Analytical performance</w:t>
            </w:r>
          </w:p>
        </w:tc>
        <w:tc>
          <w:tcPr>
            <w:tcW w:w="7043" w:type="dxa"/>
            <w:shd w:val="clear" w:color="auto" w:fill="auto"/>
          </w:tcPr>
          <w:p w14:paraId="4A7F9827" w14:textId="149095D9" w:rsidR="00FA33A6" w:rsidRPr="002167EF" w:rsidRDefault="00FA33A6" w:rsidP="00FA33A6">
            <w:pPr>
              <w:spacing w:after="0" w:line="240" w:lineRule="auto"/>
              <w:rPr>
                <w:i/>
                <w:color w:val="627786" w:themeColor="accent3" w:themeShade="BF"/>
                <w:sz w:val="20"/>
                <w:szCs w:val="20"/>
              </w:rPr>
            </w:pPr>
            <w:r w:rsidRPr="002167EF">
              <w:rPr>
                <w:i/>
                <w:color w:val="627786" w:themeColor="accent3" w:themeShade="BF"/>
                <w:sz w:val="20"/>
                <w:szCs w:val="20"/>
              </w:rPr>
              <w:t>Provide results from analytical performance studies and references to published papers. Should include data on limit of detection (LOD), cross reactivity, and accuracy (i.e. test sensitivity and specificity). Include</w:t>
            </w:r>
            <w:r w:rsidR="00580FD4" w:rsidRPr="002167EF">
              <w:rPr>
                <w:i/>
                <w:color w:val="627786" w:themeColor="accent3" w:themeShade="BF"/>
                <w:sz w:val="20"/>
                <w:szCs w:val="20"/>
              </w:rPr>
              <w:t xml:space="preserve"> specimens tested and</w:t>
            </w:r>
            <w:r w:rsidRPr="002167EF">
              <w:rPr>
                <w:i/>
                <w:color w:val="627786" w:themeColor="accent3" w:themeShade="BF"/>
                <w:sz w:val="20"/>
                <w:szCs w:val="20"/>
              </w:rPr>
              <w:t xml:space="preserve"> reference assay. If unavailable at the time of submission, include a timeline of when analytical performance data will be available. </w:t>
            </w:r>
          </w:p>
        </w:tc>
      </w:tr>
      <w:tr w:rsidR="00FA33A6" w:rsidRPr="002167EF" w14:paraId="7D26668A" w14:textId="77777777" w:rsidTr="00A93100">
        <w:trPr>
          <w:trHeight w:val="70"/>
        </w:trPr>
        <w:tc>
          <w:tcPr>
            <w:tcW w:w="1885" w:type="dxa"/>
            <w:shd w:val="clear" w:color="auto" w:fill="auto"/>
          </w:tcPr>
          <w:p w14:paraId="504584ED"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 xml:space="preserve">Clinical performance </w:t>
            </w:r>
          </w:p>
        </w:tc>
        <w:tc>
          <w:tcPr>
            <w:tcW w:w="7043" w:type="dxa"/>
            <w:shd w:val="clear" w:color="auto" w:fill="auto"/>
          </w:tcPr>
          <w:p w14:paraId="16094846" w14:textId="77777777" w:rsidR="00FA33A6" w:rsidRPr="002167EF" w:rsidRDefault="00FA33A6" w:rsidP="00B13E62">
            <w:pPr>
              <w:spacing w:after="0" w:line="240" w:lineRule="auto"/>
              <w:rPr>
                <w:rFonts w:eastAsia="Times New Roman" w:cstheme="minorHAnsi"/>
                <w:b/>
                <w:color w:val="000000"/>
                <w:sz w:val="20"/>
                <w:szCs w:val="20"/>
              </w:rPr>
            </w:pPr>
            <w:r w:rsidRPr="002167EF">
              <w:rPr>
                <w:i/>
                <w:color w:val="627786" w:themeColor="accent3" w:themeShade="BF"/>
                <w:sz w:val="20"/>
                <w:szCs w:val="20"/>
              </w:rPr>
              <w:t>Provide results from clinical performance studies and references to published papers, if available. Include reference assay.</w:t>
            </w:r>
          </w:p>
        </w:tc>
      </w:tr>
      <w:tr w:rsidR="00FA33A6" w:rsidRPr="002167EF" w14:paraId="41C15943" w14:textId="77777777" w:rsidTr="00B13E62">
        <w:tc>
          <w:tcPr>
            <w:tcW w:w="1885" w:type="dxa"/>
            <w:shd w:val="clear" w:color="auto" w:fill="auto"/>
          </w:tcPr>
          <w:p w14:paraId="4538B66A"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Cost</w:t>
            </w:r>
          </w:p>
        </w:tc>
        <w:tc>
          <w:tcPr>
            <w:tcW w:w="7043" w:type="dxa"/>
            <w:shd w:val="clear" w:color="auto" w:fill="auto"/>
          </w:tcPr>
          <w:p w14:paraId="2BBAEB22"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 xml:space="preserve">Provide cost per kit/reagent. </w:t>
            </w:r>
          </w:p>
          <w:p w14:paraId="3CDB3D09" w14:textId="77777777" w:rsidR="00FA33A6" w:rsidRPr="002167EF" w:rsidRDefault="00FA33A6" w:rsidP="00B13E62">
            <w:pPr>
              <w:spacing w:after="0" w:line="240" w:lineRule="auto"/>
              <w:rPr>
                <w:i/>
                <w:color w:val="627786" w:themeColor="accent3" w:themeShade="BF"/>
                <w:sz w:val="20"/>
                <w:szCs w:val="20"/>
              </w:rPr>
            </w:pPr>
          </w:p>
        </w:tc>
      </w:tr>
    </w:tbl>
    <w:p w14:paraId="318A34C2" w14:textId="77777777" w:rsidR="00FA33A6" w:rsidRPr="00D77522" w:rsidRDefault="00FA33A6" w:rsidP="00FA33A6">
      <w:pPr>
        <w:spacing w:after="0" w:line="240" w:lineRule="auto"/>
        <w:rPr>
          <w:rFonts w:cstheme="minorHAnsi"/>
          <w:lang w:val="en-U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043"/>
      </w:tblGrid>
      <w:tr w:rsidR="00FA33A6" w:rsidRPr="002167EF" w14:paraId="6CAA0071" w14:textId="77777777" w:rsidTr="00B13E62">
        <w:tc>
          <w:tcPr>
            <w:tcW w:w="8928" w:type="dxa"/>
            <w:gridSpan w:val="2"/>
            <w:shd w:val="clear" w:color="auto" w:fill="8CCDD4" w:themeFill="accent2" w:themeFillTint="99"/>
          </w:tcPr>
          <w:p w14:paraId="1E16D304" w14:textId="77777777" w:rsidR="00FA33A6" w:rsidRPr="002167EF" w:rsidRDefault="00FA33A6" w:rsidP="00B13E62">
            <w:pPr>
              <w:spacing w:after="0" w:line="240" w:lineRule="auto"/>
              <w:rPr>
                <w:rFonts w:eastAsia="Times New Roman" w:cstheme="minorHAnsi"/>
                <w:color w:val="000000"/>
                <w:sz w:val="20"/>
                <w:szCs w:val="20"/>
              </w:rPr>
            </w:pPr>
            <w:r w:rsidRPr="002167EF">
              <w:rPr>
                <w:rFonts w:eastAsia="Times New Roman" w:cstheme="minorHAnsi"/>
                <w:b/>
                <w:color w:val="000000"/>
                <w:sz w:val="20"/>
                <w:szCs w:val="20"/>
              </w:rPr>
              <w:t>Organization details</w:t>
            </w:r>
          </w:p>
        </w:tc>
      </w:tr>
      <w:tr w:rsidR="00FA33A6" w:rsidRPr="002167EF" w14:paraId="180620FC" w14:textId="77777777" w:rsidTr="00B13E62">
        <w:tc>
          <w:tcPr>
            <w:tcW w:w="1885" w:type="dxa"/>
            <w:shd w:val="clear" w:color="auto" w:fill="auto"/>
          </w:tcPr>
          <w:p w14:paraId="50DFCD89"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Type of organization</w:t>
            </w:r>
          </w:p>
        </w:tc>
        <w:tc>
          <w:tcPr>
            <w:tcW w:w="7043" w:type="dxa"/>
            <w:shd w:val="clear" w:color="auto" w:fill="auto"/>
          </w:tcPr>
          <w:p w14:paraId="34DCDC8F" w14:textId="77777777" w:rsidR="00FA33A6" w:rsidRPr="002167EF" w:rsidRDefault="00FA33A6" w:rsidP="00B13E62">
            <w:pPr>
              <w:spacing w:after="0" w:line="240" w:lineRule="auto"/>
              <w:rPr>
                <w:rFonts w:eastAsia="Times New Roman" w:cstheme="minorHAnsi"/>
                <w:color w:val="000000"/>
                <w:sz w:val="20"/>
                <w:szCs w:val="20"/>
              </w:rPr>
            </w:pPr>
            <w:r w:rsidRPr="002167EF">
              <w:rPr>
                <w:i/>
                <w:color w:val="627786" w:themeColor="accent3" w:themeShade="BF"/>
                <w:sz w:val="20"/>
                <w:szCs w:val="20"/>
              </w:rPr>
              <w:t xml:space="preserve">Describe type of organization (e.g. academic research laboratory, government laboratory, registered company, etc.)   </w:t>
            </w:r>
          </w:p>
        </w:tc>
      </w:tr>
      <w:tr w:rsidR="00FA33A6" w:rsidRPr="002167EF" w14:paraId="0AC7B2FF" w14:textId="77777777" w:rsidTr="00B13E62">
        <w:tc>
          <w:tcPr>
            <w:tcW w:w="1885" w:type="dxa"/>
            <w:shd w:val="clear" w:color="auto" w:fill="auto"/>
          </w:tcPr>
          <w:p w14:paraId="3E2C1E84"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Location</w:t>
            </w:r>
          </w:p>
        </w:tc>
        <w:tc>
          <w:tcPr>
            <w:tcW w:w="7043" w:type="dxa"/>
            <w:shd w:val="clear" w:color="auto" w:fill="auto"/>
          </w:tcPr>
          <w:p w14:paraId="3D9B85EB"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 xml:space="preserve">Provide the location where your organization/company is registered. </w:t>
            </w:r>
          </w:p>
          <w:p w14:paraId="126D6BA7"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 xml:space="preserve">   </w:t>
            </w:r>
          </w:p>
        </w:tc>
      </w:tr>
      <w:tr w:rsidR="00FA33A6" w:rsidRPr="002167EF" w14:paraId="59C87735" w14:textId="77777777" w:rsidTr="00B13E62">
        <w:tc>
          <w:tcPr>
            <w:tcW w:w="1885" w:type="dxa"/>
            <w:shd w:val="clear" w:color="auto" w:fill="auto"/>
          </w:tcPr>
          <w:p w14:paraId="2A2AA57F"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Website</w:t>
            </w:r>
          </w:p>
        </w:tc>
        <w:tc>
          <w:tcPr>
            <w:tcW w:w="7043" w:type="dxa"/>
            <w:shd w:val="clear" w:color="auto" w:fill="auto"/>
          </w:tcPr>
          <w:p w14:paraId="411BD034" w14:textId="77777777" w:rsidR="00FA33A6" w:rsidRPr="002167EF" w:rsidRDefault="00FA33A6" w:rsidP="00B13E62">
            <w:pPr>
              <w:spacing w:after="0" w:line="240" w:lineRule="auto"/>
              <w:rPr>
                <w:i/>
                <w:color w:val="627786" w:themeColor="accent3" w:themeShade="BF"/>
                <w:sz w:val="20"/>
                <w:szCs w:val="20"/>
              </w:rPr>
            </w:pPr>
            <w:r w:rsidRPr="002167EF">
              <w:rPr>
                <w:i/>
                <w:color w:val="627786" w:themeColor="accent3" w:themeShade="BF"/>
                <w:sz w:val="20"/>
                <w:szCs w:val="20"/>
              </w:rPr>
              <w:t xml:space="preserve">Provide the web link to your organization/company’s website, if available.  </w:t>
            </w:r>
          </w:p>
          <w:p w14:paraId="630F3747" w14:textId="77777777" w:rsidR="00FA33A6" w:rsidRPr="002167EF" w:rsidRDefault="00FA33A6" w:rsidP="00B13E62">
            <w:pPr>
              <w:spacing w:after="0" w:line="240" w:lineRule="auto"/>
              <w:rPr>
                <w:i/>
                <w:color w:val="627786" w:themeColor="accent3" w:themeShade="BF"/>
                <w:sz w:val="20"/>
                <w:szCs w:val="20"/>
              </w:rPr>
            </w:pPr>
          </w:p>
        </w:tc>
      </w:tr>
      <w:tr w:rsidR="00FA33A6" w:rsidRPr="002167EF" w14:paraId="519C77B0" w14:textId="77777777" w:rsidTr="00B13E62">
        <w:tc>
          <w:tcPr>
            <w:tcW w:w="1885" w:type="dxa"/>
            <w:shd w:val="clear" w:color="auto" w:fill="auto"/>
          </w:tcPr>
          <w:p w14:paraId="7A9212FA"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Test supply</w:t>
            </w:r>
          </w:p>
        </w:tc>
        <w:tc>
          <w:tcPr>
            <w:tcW w:w="7043" w:type="dxa"/>
            <w:shd w:val="clear" w:color="auto" w:fill="auto"/>
          </w:tcPr>
          <w:p w14:paraId="50EF0225" w14:textId="77777777" w:rsidR="00FA33A6" w:rsidRPr="002167EF" w:rsidRDefault="00FA33A6" w:rsidP="00B13E62">
            <w:pPr>
              <w:rPr>
                <w:i/>
                <w:color w:val="627786" w:themeColor="accent3" w:themeShade="BF"/>
                <w:sz w:val="20"/>
                <w:szCs w:val="20"/>
              </w:rPr>
            </w:pPr>
            <w:r w:rsidRPr="002167EF">
              <w:rPr>
                <w:i/>
                <w:color w:val="627786" w:themeColor="accent3" w:themeShade="BF"/>
                <w:sz w:val="20"/>
                <w:szCs w:val="20"/>
              </w:rPr>
              <w:t xml:space="preserve">Answer the following question. </w:t>
            </w:r>
            <w:r w:rsidRPr="002167EF">
              <w:rPr>
                <w:sz w:val="20"/>
                <w:szCs w:val="20"/>
              </w:rPr>
              <w:t xml:space="preserve">Is research group/organization/company the manufacturer of the test presented to FIND?  </w:t>
            </w:r>
            <w:sdt>
              <w:sdtPr>
                <w:rPr>
                  <w:sz w:val="20"/>
                  <w:szCs w:val="20"/>
                </w:rPr>
                <w:id w:val="-844787053"/>
                <w14:checkbox>
                  <w14:checked w14:val="0"/>
                  <w14:checkedState w14:val="2612" w14:font="MS Gothic"/>
                  <w14:uncheckedState w14:val="2610" w14:font="MS Gothic"/>
                </w14:checkbox>
              </w:sdtPr>
              <w:sdtEndPr/>
              <w:sdtContent>
                <w:r w:rsidRPr="002167EF">
                  <w:rPr>
                    <w:rFonts w:ascii="MS Gothic" w:eastAsia="MS Gothic" w:hAnsi="MS Gothic" w:hint="eastAsia"/>
                    <w:sz w:val="20"/>
                    <w:szCs w:val="20"/>
                  </w:rPr>
                  <w:t>☐</w:t>
                </w:r>
              </w:sdtContent>
            </w:sdt>
            <w:r w:rsidRPr="002167EF">
              <w:rPr>
                <w:sz w:val="20"/>
                <w:szCs w:val="20"/>
              </w:rPr>
              <w:t xml:space="preserve">Yes  </w:t>
            </w:r>
            <w:sdt>
              <w:sdtPr>
                <w:rPr>
                  <w:sz w:val="20"/>
                  <w:szCs w:val="20"/>
                </w:rPr>
                <w:id w:val="1913273765"/>
                <w14:checkbox>
                  <w14:checked w14:val="0"/>
                  <w14:checkedState w14:val="2612" w14:font="MS Gothic"/>
                  <w14:uncheckedState w14:val="2610" w14:font="MS Gothic"/>
                </w14:checkbox>
              </w:sdtPr>
              <w:sdtEndPr/>
              <w:sdtContent>
                <w:r w:rsidRPr="002167EF">
                  <w:rPr>
                    <w:rFonts w:ascii="MS Gothic" w:eastAsia="MS Gothic" w:hAnsi="MS Gothic" w:hint="eastAsia"/>
                    <w:sz w:val="20"/>
                    <w:szCs w:val="20"/>
                  </w:rPr>
                  <w:t>☐</w:t>
                </w:r>
              </w:sdtContent>
            </w:sdt>
            <w:r w:rsidRPr="002167EF">
              <w:rPr>
                <w:sz w:val="20"/>
                <w:szCs w:val="20"/>
              </w:rPr>
              <w:t>No</w:t>
            </w:r>
          </w:p>
          <w:p w14:paraId="7C32330F" w14:textId="77777777" w:rsidR="00FA33A6" w:rsidRPr="002167EF" w:rsidRDefault="00FA33A6" w:rsidP="00B13E62">
            <w:pPr>
              <w:rPr>
                <w:i/>
                <w:color w:val="627786" w:themeColor="accent3" w:themeShade="BF"/>
                <w:sz w:val="20"/>
                <w:szCs w:val="20"/>
              </w:rPr>
            </w:pPr>
            <w:r w:rsidRPr="002167EF">
              <w:rPr>
                <w:i/>
                <w:color w:val="627786" w:themeColor="accent3" w:themeShade="BF"/>
                <w:sz w:val="20"/>
                <w:szCs w:val="20"/>
              </w:rPr>
              <w:t xml:space="preserve">If YES: please detail the location of manufacturing site and production capacity. </w:t>
            </w:r>
          </w:p>
          <w:p w14:paraId="2CDDBCB0" w14:textId="77777777" w:rsidR="00FA33A6" w:rsidRPr="002167EF" w:rsidRDefault="00FA33A6" w:rsidP="00B13E62">
            <w:pPr>
              <w:rPr>
                <w:color w:val="627786" w:themeColor="accent3" w:themeShade="BF"/>
                <w:sz w:val="20"/>
                <w:szCs w:val="20"/>
              </w:rPr>
            </w:pPr>
            <w:r w:rsidRPr="002167EF">
              <w:rPr>
                <w:i/>
                <w:color w:val="627786" w:themeColor="accent3" w:themeShade="BF"/>
                <w:sz w:val="20"/>
                <w:szCs w:val="20"/>
              </w:rPr>
              <w:t>If NO: please describe how end-users can obtain tests.</w:t>
            </w:r>
            <w:r w:rsidRPr="002167EF">
              <w:rPr>
                <w:color w:val="627786" w:themeColor="accent3" w:themeShade="BF"/>
                <w:sz w:val="20"/>
                <w:szCs w:val="20"/>
              </w:rPr>
              <w:t xml:space="preserve"> </w:t>
            </w:r>
          </w:p>
        </w:tc>
      </w:tr>
      <w:tr w:rsidR="00986163" w:rsidRPr="002167EF" w14:paraId="146DEEB5" w14:textId="77777777" w:rsidTr="00B13E62">
        <w:tc>
          <w:tcPr>
            <w:tcW w:w="1885" w:type="dxa"/>
            <w:shd w:val="clear" w:color="auto" w:fill="auto"/>
          </w:tcPr>
          <w:p w14:paraId="0B18DDA9" w14:textId="3F96BCAE" w:rsidR="00986163" w:rsidRPr="002167EF" w:rsidRDefault="00986163"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Regulatory Status</w:t>
            </w:r>
          </w:p>
        </w:tc>
        <w:tc>
          <w:tcPr>
            <w:tcW w:w="7043" w:type="dxa"/>
            <w:shd w:val="clear" w:color="auto" w:fill="auto"/>
          </w:tcPr>
          <w:p w14:paraId="53FC62FA" w14:textId="27C75F98" w:rsidR="00986163" w:rsidRPr="002167EF" w:rsidRDefault="00986163" w:rsidP="00B13E62">
            <w:pPr>
              <w:rPr>
                <w:i/>
                <w:color w:val="627786" w:themeColor="accent3" w:themeShade="BF"/>
                <w:sz w:val="20"/>
                <w:szCs w:val="20"/>
              </w:rPr>
            </w:pPr>
            <w:r w:rsidRPr="002167EF">
              <w:rPr>
                <w:i/>
                <w:color w:val="627786" w:themeColor="accent3" w:themeShade="BF"/>
                <w:sz w:val="20"/>
                <w:szCs w:val="20"/>
              </w:rPr>
              <w:t xml:space="preserve">State whether the test has received regulatory approval or is for research use only. </w:t>
            </w:r>
          </w:p>
        </w:tc>
      </w:tr>
      <w:tr w:rsidR="002167EF" w:rsidRPr="002167EF" w14:paraId="0937B799" w14:textId="77777777" w:rsidTr="00B13E62">
        <w:tc>
          <w:tcPr>
            <w:tcW w:w="1885" w:type="dxa"/>
            <w:shd w:val="clear" w:color="auto" w:fill="auto"/>
          </w:tcPr>
          <w:p w14:paraId="3461DB83" w14:textId="398B2307" w:rsidR="002167EF" w:rsidRPr="002167EF" w:rsidRDefault="002167EF"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Quality management system</w:t>
            </w:r>
          </w:p>
        </w:tc>
        <w:tc>
          <w:tcPr>
            <w:tcW w:w="7043" w:type="dxa"/>
            <w:shd w:val="clear" w:color="auto" w:fill="auto"/>
          </w:tcPr>
          <w:p w14:paraId="292EF347" w14:textId="187210F5" w:rsidR="002167EF" w:rsidRPr="002167EF" w:rsidRDefault="002167EF" w:rsidP="002167EF">
            <w:pPr>
              <w:rPr>
                <w:i/>
                <w:color w:val="627786" w:themeColor="accent3" w:themeShade="BF"/>
                <w:sz w:val="20"/>
                <w:szCs w:val="20"/>
              </w:rPr>
            </w:pPr>
            <w:r w:rsidRPr="002167EF">
              <w:rPr>
                <w:i/>
                <w:color w:val="627786" w:themeColor="accent3" w:themeShade="BF"/>
                <w:sz w:val="20"/>
                <w:szCs w:val="20"/>
              </w:rPr>
              <w:t xml:space="preserve">State any quality management system(s) and/or certification(s) in place for research &amp; development and manufacturing (e.g. </w:t>
            </w:r>
            <w:proofErr w:type="spellStart"/>
            <w:r w:rsidRPr="002167EF">
              <w:rPr>
                <w:i/>
                <w:color w:val="627786" w:themeColor="accent3" w:themeShade="BF"/>
                <w:sz w:val="20"/>
                <w:szCs w:val="20"/>
              </w:rPr>
              <w:t>GxP</w:t>
            </w:r>
            <w:proofErr w:type="spellEnd"/>
            <w:r w:rsidRPr="002167EF">
              <w:rPr>
                <w:i/>
                <w:color w:val="627786" w:themeColor="accent3" w:themeShade="BF"/>
                <w:sz w:val="20"/>
                <w:szCs w:val="20"/>
              </w:rPr>
              <w:t>, ISO, CLIA, etc.)</w:t>
            </w:r>
          </w:p>
        </w:tc>
      </w:tr>
      <w:tr w:rsidR="00FA33A6" w:rsidRPr="002167EF" w14:paraId="61B96A71" w14:textId="77777777" w:rsidTr="00B13E62">
        <w:tc>
          <w:tcPr>
            <w:tcW w:w="1885" w:type="dxa"/>
            <w:tcBorders>
              <w:top w:val="single" w:sz="4" w:space="0" w:color="auto"/>
              <w:left w:val="single" w:sz="4" w:space="0" w:color="auto"/>
              <w:bottom w:val="single" w:sz="4" w:space="0" w:color="auto"/>
              <w:right w:val="single" w:sz="4" w:space="0" w:color="auto"/>
            </w:tcBorders>
            <w:shd w:val="clear" w:color="auto" w:fill="auto"/>
          </w:tcPr>
          <w:p w14:paraId="7AA88D46" w14:textId="77777777" w:rsidR="00FA33A6" w:rsidRPr="002167EF" w:rsidRDefault="00FA33A6" w:rsidP="00B13E62">
            <w:pPr>
              <w:spacing w:after="0" w:line="240" w:lineRule="auto"/>
              <w:rPr>
                <w:rFonts w:eastAsia="Times New Roman" w:cstheme="minorHAnsi"/>
                <w:b/>
                <w:color w:val="000000"/>
                <w:sz w:val="20"/>
                <w:szCs w:val="20"/>
              </w:rPr>
            </w:pPr>
            <w:r w:rsidRPr="002167EF">
              <w:rPr>
                <w:rFonts w:eastAsia="Times New Roman" w:cstheme="minorHAnsi"/>
                <w:b/>
                <w:color w:val="000000"/>
                <w:sz w:val="20"/>
                <w:szCs w:val="20"/>
              </w:rPr>
              <w:t>Other products available</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F40BDAD" w14:textId="77777777" w:rsidR="00FA33A6" w:rsidRPr="002167EF" w:rsidRDefault="00FA33A6" w:rsidP="00B13E62">
            <w:pPr>
              <w:rPr>
                <w:i/>
                <w:color w:val="627786" w:themeColor="accent3" w:themeShade="BF"/>
                <w:sz w:val="20"/>
                <w:szCs w:val="20"/>
              </w:rPr>
            </w:pPr>
            <w:r w:rsidRPr="002167EF">
              <w:rPr>
                <w:i/>
                <w:color w:val="627786" w:themeColor="accent3" w:themeShade="BF"/>
                <w:sz w:val="20"/>
                <w:szCs w:val="20"/>
              </w:rPr>
              <w:t xml:space="preserve">List here the names of other products available, if applicable.  </w:t>
            </w:r>
          </w:p>
        </w:tc>
      </w:tr>
    </w:tbl>
    <w:p w14:paraId="1FE0CB91" w14:textId="77777777" w:rsidR="004E6D0A" w:rsidRDefault="004E6D0A" w:rsidP="009D430C">
      <w:pPr>
        <w:spacing w:after="0" w:line="240" w:lineRule="auto"/>
        <w:rPr>
          <w:lang w:val="en-US"/>
        </w:rPr>
      </w:pPr>
    </w:p>
    <w:p w14:paraId="1CA2ADF8" w14:textId="27F8C508" w:rsidR="002167EF" w:rsidRDefault="002167EF">
      <w:pPr>
        <w:rPr>
          <w:lang w:val="en-US"/>
        </w:rPr>
      </w:pPr>
      <w:r>
        <w:rPr>
          <w:lang w:val="en-US"/>
        </w:rPr>
        <w:br w:type="page"/>
      </w:r>
    </w:p>
    <w:p w14:paraId="1E58781D" w14:textId="23D1F575" w:rsidR="002167EF" w:rsidRDefault="002167EF" w:rsidP="002167EF">
      <w:pPr>
        <w:spacing w:after="0" w:line="240" w:lineRule="auto"/>
        <w:rPr>
          <w:b/>
          <w:color w:val="5A2259" w:themeColor="accent1"/>
          <w:sz w:val="32"/>
          <w:szCs w:val="32"/>
          <w:lang w:val="en-US"/>
        </w:rPr>
      </w:pPr>
      <w:r>
        <w:rPr>
          <w:b/>
          <w:color w:val="5A2259" w:themeColor="accent1"/>
          <w:sz w:val="32"/>
          <w:szCs w:val="32"/>
          <w:lang w:val="en-US"/>
        </w:rPr>
        <w:lastRenderedPageBreak/>
        <w:t>Appendix I: Protocol synopsis</w:t>
      </w:r>
    </w:p>
    <w:p w14:paraId="274D53F7" w14:textId="77777777" w:rsidR="00CB4F0B" w:rsidRPr="00CB4F0B" w:rsidRDefault="00CB4F0B" w:rsidP="002167EF">
      <w:pPr>
        <w:spacing w:after="0" w:line="240" w:lineRule="auto"/>
        <w:rPr>
          <w:b/>
          <w:color w:val="5A2259" w:themeColor="accent1"/>
          <w:sz w:val="16"/>
          <w:szCs w:val="16"/>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669"/>
      </w:tblGrid>
      <w:tr w:rsidR="002167EF" w:rsidRPr="002167EF" w14:paraId="7DC77CD3" w14:textId="77777777" w:rsidTr="002167EF">
        <w:tc>
          <w:tcPr>
            <w:tcW w:w="1795" w:type="dxa"/>
          </w:tcPr>
          <w:p w14:paraId="48C26212" w14:textId="77777777" w:rsidR="002167EF" w:rsidRPr="002167EF" w:rsidRDefault="002167EF" w:rsidP="00713338">
            <w:pPr>
              <w:pStyle w:val="TableHeadings"/>
              <w:rPr>
                <w:sz w:val="18"/>
                <w:szCs w:val="18"/>
              </w:rPr>
            </w:pPr>
            <w:r w:rsidRPr="002167EF">
              <w:rPr>
                <w:sz w:val="18"/>
                <w:szCs w:val="18"/>
              </w:rPr>
              <w:t>Title</w:t>
            </w:r>
          </w:p>
        </w:tc>
        <w:tc>
          <w:tcPr>
            <w:tcW w:w="7669" w:type="dxa"/>
          </w:tcPr>
          <w:p w14:paraId="64391AD6" w14:textId="77777777" w:rsidR="002167EF" w:rsidRPr="002167EF" w:rsidRDefault="002167EF" w:rsidP="00713338">
            <w:pPr>
              <w:pStyle w:val="TableText"/>
              <w:rPr>
                <w:i/>
                <w:color w:val="auto"/>
                <w:sz w:val="18"/>
                <w:szCs w:val="18"/>
              </w:rPr>
            </w:pPr>
            <w:r w:rsidRPr="002167EF">
              <w:rPr>
                <w:rStyle w:val="Instructional"/>
                <w:i w:val="0"/>
                <w:color w:val="auto"/>
                <w:sz w:val="18"/>
                <w:szCs w:val="18"/>
              </w:rPr>
              <w:t xml:space="preserve">Analytical and clinical validation of arbovirus diagnostics for ZIKV detection. </w:t>
            </w:r>
          </w:p>
        </w:tc>
      </w:tr>
      <w:tr w:rsidR="002167EF" w:rsidRPr="002167EF" w14:paraId="094EFBF0" w14:textId="77777777" w:rsidTr="002167EF">
        <w:tc>
          <w:tcPr>
            <w:tcW w:w="1795" w:type="dxa"/>
          </w:tcPr>
          <w:p w14:paraId="690C98DF" w14:textId="77777777" w:rsidR="002167EF" w:rsidRPr="002167EF" w:rsidRDefault="002167EF" w:rsidP="00713338">
            <w:pPr>
              <w:pStyle w:val="TableHeadings"/>
              <w:rPr>
                <w:sz w:val="18"/>
                <w:szCs w:val="18"/>
              </w:rPr>
            </w:pPr>
            <w:r w:rsidRPr="002167EF">
              <w:rPr>
                <w:sz w:val="18"/>
                <w:szCs w:val="18"/>
              </w:rPr>
              <w:t xml:space="preserve">Short title </w:t>
            </w:r>
          </w:p>
        </w:tc>
        <w:tc>
          <w:tcPr>
            <w:tcW w:w="7669" w:type="dxa"/>
          </w:tcPr>
          <w:p w14:paraId="23518458" w14:textId="77777777" w:rsidR="002167EF" w:rsidRPr="002167EF" w:rsidRDefault="002167EF" w:rsidP="00713338">
            <w:pPr>
              <w:pStyle w:val="TableText"/>
              <w:rPr>
                <w:i/>
                <w:color w:val="auto"/>
                <w:sz w:val="18"/>
                <w:szCs w:val="18"/>
              </w:rPr>
            </w:pPr>
            <w:r w:rsidRPr="002167EF">
              <w:rPr>
                <w:rStyle w:val="Instructional"/>
                <w:i w:val="0"/>
                <w:color w:val="auto"/>
                <w:sz w:val="18"/>
                <w:szCs w:val="18"/>
              </w:rPr>
              <w:t>Validation of ZIKV diagnostics.</w:t>
            </w:r>
          </w:p>
        </w:tc>
      </w:tr>
      <w:tr w:rsidR="002167EF" w:rsidRPr="002167EF" w14:paraId="37B5FD4F" w14:textId="77777777" w:rsidTr="002167EF">
        <w:tc>
          <w:tcPr>
            <w:tcW w:w="1795" w:type="dxa"/>
          </w:tcPr>
          <w:p w14:paraId="659AC578" w14:textId="77777777" w:rsidR="002167EF" w:rsidRPr="002167EF" w:rsidRDefault="002167EF" w:rsidP="00713338">
            <w:pPr>
              <w:pStyle w:val="TableHeadings"/>
              <w:rPr>
                <w:sz w:val="18"/>
                <w:szCs w:val="18"/>
              </w:rPr>
            </w:pPr>
            <w:r w:rsidRPr="002167EF">
              <w:rPr>
                <w:sz w:val="18"/>
                <w:szCs w:val="18"/>
              </w:rPr>
              <w:t>Background and rationale</w:t>
            </w:r>
          </w:p>
        </w:tc>
        <w:tc>
          <w:tcPr>
            <w:tcW w:w="7669" w:type="dxa"/>
          </w:tcPr>
          <w:p w14:paraId="7D9668FA" w14:textId="77777777" w:rsidR="002167EF" w:rsidRPr="002167EF" w:rsidRDefault="002167EF" w:rsidP="00713338">
            <w:pPr>
              <w:pStyle w:val="TableText"/>
              <w:rPr>
                <w:rStyle w:val="Instructional"/>
                <w:i w:val="0"/>
                <w:color w:val="auto"/>
                <w:sz w:val="18"/>
                <w:szCs w:val="18"/>
              </w:rPr>
            </w:pPr>
            <w:proofErr w:type="spellStart"/>
            <w:r w:rsidRPr="002167EF">
              <w:rPr>
                <w:rStyle w:val="Instructional"/>
                <w:i w:val="0"/>
                <w:color w:val="auto"/>
                <w:sz w:val="18"/>
                <w:szCs w:val="18"/>
              </w:rPr>
              <w:t>Zika</w:t>
            </w:r>
            <w:proofErr w:type="spellEnd"/>
            <w:r w:rsidRPr="002167EF">
              <w:rPr>
                <w:rStyle w:val="Instructional"/>
                <w:i w:val="0"/>
                <w:color w:val="auto"/>
                <w:sz w:val="18"/>
                <w:szCs w:val="18"/>
              </w:rPr>
              <w:t xml:space="preserve"> virus (ZIKV), once considered a cause of rare and mild infection, emerged in 2015-2016 as the cause of a global epidemic, with demonstrated capacity for rapid global spread and a cause of birth defects, other adverse pregnancy outcomes, and </w:t>
            </w:r>
            <w:proofErr w:type="spellStart"/>
            <w:r w:rsidRPr="002167EF">
              <w:rPr>
                <w:rStyle w:val="Instructional"/>
                <w:i w:val="0"/>
                <w:color w:val="auto"/>
                <w:sz w:val="18"/>
                <w:szCs w:val="18"/>
              </w:rPr>
              <w:t>Guillain-Barré</w:t>
            </w:r>
            <w:proofErr w:type="spellEnd"/>
            <w:r w:rsidRPr="002167EF">
              <w:rPr>
                <w:rStyle w:val="Instructional"/>
                <w:i w:val="0"/>
                <w:color w:val="auto"/>
                <w:sz w:val="18"/>
                <w:szCs w:val="18"/>
              </w:rPr>
              <w:t xml:space="preserve"> syndrome. In response, WHO declared </w:t>
            </w:r>
            <w:proofErr w:type="spellStart"/>
            <w:r w:rsidRPr="002167EF">
              <w:rPr>
                <w:rStyle w:val="Instructional"/>
                <w:i w:val="0"/>
                <w:color w:val="auto"/>
                <w:sz w:val="18"/>
                <w:szCs w:val="18"/>
              </w:rPr>
              <w:t>Zika</w:t>
            </w:r>
            <w:proofErr w:type="spellEnd"/>
            <w:r w:rsidRPr="002167EF">
              <w:rPr>
                <w:rStyle w:val="Instructional"/>
                <w:i w:val="0"/>
                <w:color w:val="auto"/>
                <w:sz w:val="18"/>
                <w:szCs w:val="18"/>
              </w:rPr>
              <w:t xml:space="preserve"> virus and its associated complications a Public Health Emergency of International Concern (PHEIC), and subsequently committed to a long-term program for ZIKV preparedness, prevention, and control. Despite the surge of research and development of ZIKV diagnostics, there is limited data on the optimal approach to ZIKV diagnostic testing.</w:t>
            </w:r>
          </w:p>
          <w:p w14:paraId="0E463D9A" w14:textId="77777777" w:rsidR="002167EF" w:rsidRPr="002167EF" w:rsidRDefault="002167EF" w:rsidP="00713338">
            <w:pPr>
              <w:pStyle w:val="TableText"/>
              <w:rPr>
                <w:color w:val="auto"/>
                <w:sz w:val="18"/>
                <w:szCs w:val="18"/>
              </w:rPr>
            </w:pPr>
            <w:r w:rsidRPr="002167EF">
              <w:rPr>
                <w:color w:val="auto"/>
                <w:sz w:val="18"/>
                <w:szCs w:val="18"/>
              </w:rPr>
              <w:t xml:space="preserve">The goal of this study is to conduct a standardized, comparative assessment of available ZIKV diagnostics that will allow clinicians, public health organizations, laboratory managers, and emergency response plans to develop an optimal approach to ZIKV diagnostic testing. </w:t>
            </w:r>
          </w:p>
        </w:tc>
      </w:tr>
      <w:tr w:rsidR="002167EF" w:rsidRPr="002167EF" w14:paraId="034FA531" w14:textId="77777777" w:rsidTr="002167EF">
        <w:tc>
          <w:tcPr>
            <w:tcW w:w="1795" w:type="dxa"/>
          </w:tcPr>
          <w:p w14:paraId="5BC39AA9" w14:textId="77777777" w:rsidR="002167EF" w:rsidRPr="002167EF" w:rsidRDefault="002167EF" w:rsidP="00713338">
            <w:pPr>
              <w:pStyle w:val="TableHeadings"/>
              <w:rPr>
                <w:sz w:val="18"/>
                <w:szCs w:val="18"/>
              </w:rPr>
            </w:pPr>
            <w:r w:rsidRPr="002167EF">
              <w:rPr>
                <w:sz w:val="18"/>
                <w:szCs w:val="18"/>
              </w:rPr>
              <w:t>Primary objective</w:t>
            </w:r>
          </w:p>
        </w:tc>
        <w:tc>
          <w:tcPr>
            <w:tcW w:w="7669" w:type="dxa"/>
          </w:tcPr>
          <w:p w14:paraId="7A1132DD" w14:textId="77777777" w:rsidR="002167EF" w:rsidRPr="002167EF" w:rsidRDefault="002167EF" w:rsidP="00713338">
            <w:pPr>
              <w:rPr>
                <w:rFonts w:ascii="Arial" w:hAnsi="Arial" w:cs="Arial"/>
                <w:b/>
                <w:sz w:val="18"/>
                <w:szCs w:val="18"/>
              </w:rPr>
            </w:pPr>
            <w:r w:rsidRPr="002167EF">
              <w:rPr>
                <w:rFonts w:ascii="Arial" w:hAnsi="Arial" w:cs="Arial"/>
                <w:b/>
                <w:sz w:val="18"/>
                <w:szCs w:val="18"/>
              </w:rPr>
              <w:t>Molecular assays</w:t>
            </w:r>
          </w:p>
          <w:p w14:paraId="00D93097" w14:textId="77777777" w:rsidR="002167EF" w:rsidRPr="002167EF" w:rsidRDefault="002167EF" w:rsidP="002167EF">
            <w:pPr>
              <w:pStyle w:val="TableText"/>
              <w:numPr>
                <w:ilvl w:val="1"/>
                <w:numId w:val="10"/>
              </w:numPr>
              <w:ind w:left="720"/>
              <w:rPr>
                <w:rStyle w:val="Instructional"/>
                <w:i w:val="0"/>
                <w:color w:val="auto"/>
                <w:sz w:val="18"/>
                <w:szCs w:val="18"/>
              </w:rPr>
            </w:pPr>
            <w:r w:rsidRPr="002167EF">
              <w:rPr>
                <w:rStyle w:val="Instructional"/>
                <w:i w:val="0"/>
                <w:color w:val="auto"/>
                <w:sz w:val="18"/>
                <w:szCs w:val="18"/>
              </w:rPr>
              <w:t xml:space="preserve">Determination of ZIKV RNA limit of detection (LOD) against a panel of ZIKV RNA concentrations derived from the ZIKV international standard </w:t>
            </w:r>
          </w:p>
          <w:p w14:paraId="2729BE57" w14:textId="77777777" w:rsidR="002167EF" w:rsidRPr="002167EF" w:rsidRDefault="002167EF" w:rsidP="002167EF">
            <w:pPr>
              <w:pStyle w:val="TableText"/>
              <w:numPr>
                <w:ilvl w:val="1"/>
                <w:numId w:val="10"/>
              </w:numPr>
              <w:ind w:left="720"/>
              <w:rPr>
                <w:rStyle w:val="Instructional"/>
                <w:i w:val="0"/>
                <w:color w:val="auto"/>
                <w:sz w:val="18"/>
                <w:szCs w:val="18"/>
              </w:rPr>
            </w:pPr>
            <w:r w:rsidRPr="002167EF">
              <w:rPr>
                <w:rStyle w:val="Instructional"/>
                <w:i w:val="0"/>
                <w:color w:val="auto"/>
                <w:sz w:val="18"/>
                <w:szCs w:val="18"/>
              </w:rPr>
              <w:t xml:space="preserve">Determination of diagnostic accuracy for ZIKV RNA detection against a panel of ZIKV and DENV positive samples  </w:t>
            </w:r>
          </w:p>
          <w:p w14:paraId="0777CCE7" w14:textId="77777777" w:rsidR="002167EF" w:rsidRPr="002167EF" w:rsidRDefault="002167EF" w:rsidP="00713338">
            <w:pPr>
              <w:pStyle w:val="TableText"/>
              <w:rPr>
                <w:rStyle w:val="Instructional"/>
                <w:b/>
                <w:i w:val="0"/>
                <w:color w:val="auto"/>
                <w:sz w:val="18"/>
                <w:szCs w:val="18"/>
              </w:rPr>
            </w:pPr>
            <w:r w:rsidRPr="002167EF">
              <w:rPr>
                <w:rStyle w:val="Instructional"/>
                <w:b/>
                <w:i w:val="0"/>
                <w:color w:val="auto"/>
                <w:sz w:val="18"/>
                <w:szCs w:val="18"/>
              </w:rPr>
              <w:t>Serology assays</w:t>
            </w:r>
          </w:p>
          <w:p w14:paraId="19FC68DD" w14:textId="77777777" w:rsidR="002167EF" w:rsidRPr="002167EF" w:rsidRDefault="002167EF" w:rsidP="002167EF">
            <w:pPr>
              <w:pStyle w:val="TableText"/>
              <w:numPr>
                <w:ilvl w:val="1"/>
                <w:numId w:val="9"/>
              </w:numPr>
              <w:rPr>
                <w:color w:val="auto"/>
                <w:sz w:val="18"/>
                <w:szCs w:val="18"/>
              </w:rPr>
            </w:pPr>
            <w:r w:rsidRPr="002167EF">
              <w:rPr>
                <w:color w:val="auto"/>
                <w:sz w:val="18"/>
                <w:szCs w:val="18"/>
              </w:rPr>
              <w:t xml:space="preserve">Determination of diagnostic accuracy for ZIKV IgM detection against a panel of ZIKV and DENV positive samples  </w:t>
            </w:r>
          </w:p>
        </w:tc>
      </w:tr>
      <w:tr w:rsidR="002167EF" w:rsidRPr="002167EF" w14:paraId="2D8A7256" w14:textId="77777777" w:rsidTr="002167EF">
        <w:tc>
          <w:tcPr>
            <w:tcW w:w="1795" w:type="dxa"/>
          </w:tcPr>
          <w:p w14:paraId="2180FBCB" w14:textId="77777777" w:rsidR="002167EF" w:rsidRPr="002167EF" w:rsidRDefault="002167EF" w:rsidP="00713338">
            <w:pPr>
              <w:pStyle w:val="TableHeadings"/>
              <w:rPr>
                <w:sz w:val="18"/>
                <w:szCs w:val="18"/>
              </w:rPr>
            </w:pPr>
            <w:r w:rsidRPr="002167EF">
              <w:rPr>
                <w:sz w:val="18"/>
                <w:szCs w:val="18"/>
              </w:rPr>
              <w:t>Study design</w:t>
            </w:r>
          </w:p>
        </w:tc>
        <w:tc>
          <w:tcPr>
            <w:tcW w:w="7669" w:type="dxa"/>
          </w:tcPr>
          <w:p w14:paraId="448F6F9C" w14:textId="3D092064" w:rsidR="002167EF" w:rsidRPr="002167EF" w:rsidRDefault="002167EF" w:rsidP="00713338">
            <w:pPr>
              <w:pStyle w:val="TableText"/>
              <w:rPr>
                <w:rStyle w:val="Instructional"/>
                <w:i w:val="0"/>
                <w:color w:val="auto"/>
                <w:sz w:val="18"/>
                <w:szCs w:val="18"/>
              </w:rPr>
            </w:pPr>
            <w:r w:rsidRPr="002167EF">
              <w:rPr>
                <w:rStyle w:val="Instructional"/>
                <w:i w:val="0"/>
                <w:color w:val="auto"/>
                <w:sz w:val="18"/>
                <w:szCs w:val="18"/>
              </w:rPr>
              <w:t xml:space="preserve">Laboratory-based study to assess assay LOD and </w:t>
            </w:r>
            <w:r w:rsidR="00CB4F0B">
              <w:rPr>
                <w:rStyle w:val="Instructional"/>
                <w:i w:val="0"/>
                <w:color w:val="auto"/>
                <w:sz w:val="18"/>
                <w:szCs w:val="18"/>
              </w:rPr>
              <w:t>test performance</w:t>
            </w:r>
            <w:r w:rsidRPr="002167EF">
              <w:rPr>
                <w:rStyle w:val="Instructional"/>
                <w:i w:val="0"/>
                <w:color w:val="auto"/>
                <w:sz w:val="18"/>
                <w:szCs w:val="18"/>
              </w:rPr>
              <w:t xml:space="preserve"> from blinded reference panels. </w:t>
            </w:r>
          </w:p>
          <w:p w14:paraId="0A4D94EF" w14:textId="77777777" w:rsidR="002167EF" w:rsidRPr="002167EF" w:rsidRDefault="002167EF" w:rsidP="002167EF">
            <w:pPr>
              <w:pStyle w:val="TableText"/>
              <w:rPr>
                <w:rStyle w:val="Instructional"/>
                <w:i w:val="0"/>
                <w:color w:val="auto"/>
                <w:sz w:val="18"/>
                <w:szCs w:val="18"/>
              </w:rPr>
            </w:pPr>
            <w:r w:rsidRPr="002167EF">
              <w:rPr>
                <w:rStyle w:val="Instructional"/>
                <w:i w:val="0"/>
                <w:color w:val="auto"/>
                <w:sz w:val="18"/>
                <w:szCs w:val="18"/>
              </w:rPr>
              <w:t xml:space="preserve">This is a tiered evaluation of ZIKV molecular and serological diagnostics. Depending on currently published data, assays will be initiated in one of three evaluation phases:  </w:t>
            </w:r>
          </w:p>
          <w:p w14:paraId="4E0FC9E5" w14:textId="77777777" w:rsidR="002167EF" w:rsidRDefault="002167EF" w:rsidP="002167EF">
            <w:pPr>
              <w:pStyle w:val="TableText"/>
              <w:numPr>
                <w:ilvl w:val="0"/>
                <w:numId w:val="12"/>
              </w:numPr>
              <w:ind w:left="702"/>
              <w:rPr>
                <w:rStyle w:val="Instructional"/>
                <w:i w:val="0"/>
                <w:color w:val="auto"/>
                <w:sz w:val="18"/>
                <w:szCs w:val="18"/>
              </w:rPr>
            </w:pPr>
            <w:r w:rsidRPr="002167EF">
              <w:rPr>
                <w:rStyle w:val="Instructional"/>
                <w:i w:val="0"/>
                <w:color w:val="auto"/>
                <w:sz w:val="18"/>
                <w:szCs w:val="18"/>
              </w:rPr>
              <w:t xml:space="preserve">Qualification: New assays or assays that have no external evaluation data will be evaluated using a reference panel consisting of a small subset of spiked or clinical samples.   </w:t>
            </w:r>
          </w:p>
          <w:p w14:paraId="588121C0" w14:textId="77777777" w:rsidR="002167EF" w:rsidRDefault="002167EF" w:rsidP="002167EF">
            <w:pPr>
              <w:pStyle w:val="TableText"/>
              <w:numPr>
                <w:ilvl w:val="0"/>
                <w:numId w:val="12"/>
              </w:numPr>
              <w:ind w:left="702"/>
              <w:rPr>
                <w:rStyle w:val="Instructional"/>
                <w:i w:val="0"/>
                <w:color w:val="auto"/>
                <w:sz w:val="18"/>
                <w:szCs w:val="18"/>
              </w:rPr>
            </w:pPr>
            <w:r w:rsidRPr="002167EF">
              <w:rPr>
                <w:rStyle w:val="Instructional"/>
                <w:i w:val="0"/>
                <w:color w:val="auto"/>
                <w:sz w:val="18"/>
                <w:szCs w:val="18"/>
              </w:rPr>
              <w:t xml:space="preserve">Analytical verification: Molecular assays that pass qualification criteria will be evaluated using a reference panel consisting of a large subset of spiked samples.  </w:t>
            </w:r>
          </w:p>
          <w:p w14:paraId="6C48524E" w14:textId="6CF89CD0" w:rsidR="002167EF" w:rsidRPr="002167EF" w:rsidRDefault="002167EF" w:rsidP="002167EF">
            <w:pPr>
              <w:pStyle w:val="TableText"/>
              <w:numPr>
                <w:ilvl w:val="0"/>
                <w:numId w:val="12"/>
              </w:numPr>
              <w:ind w:left="702"/>
              <w:rPr>
                <w:color w:val="auto"/>
                <w:sz w:val="18"/>
                <w:szCs w:val="18"/>
              </w:rPr>
            </w:pPr>
            <w:r w:rsidRPr="002167EF">
              <w:rPr>
                <w:rStyle w:val="Instructional"/>
                <w:i w:val="0"/>
                <w:color w:val="auto"/>
                <w:sz w:val="18"/>
                <w:szCs w:val="18"/>
              </w:rPr>
              <w:t xml:space="preserve">Clinical evaluation: Molecular assays that meet qualification and analytical criteria, or serological assays that meet qualification criteria, will be evaluated using a reference panel consisting of a large subset of clinical samples from different geographic regions.  </w:t>
            </w:r>
          </w:p>
        </w:tc>
      </w:tr>
      <w:tr w:rsidR="002167EF" w:rsidRPr="002167EF" w14:paraId="6F5A5709" w14:textId="77777777" w:rsidTr="002167EF">
        <w:tc>
          <w:tcPr>
            <w:tcW w:w="1795" w:type="dxa"/>
          </w:tcPr>
          <w:p w14:paraId="33511001" w14:textId="77777777" w:rsidR="002167EF" w:rsidRPr="002167EF" w:rsidRDefault="002167EF" w:rsidP="00713338">
            <w:pPr>
              <w:pStyle w:val="TableHeadings"/>
              <w:rPr>
                <w:sz w:val="18"/>
                <w:szCs w:val="18"/>
              </w:rPr>
            </w:pPr>
            <w:r w:rsidRPr="002167EF">
              <w:rPr>
                <w:sz w:val="18"/>
                <w:szCs w:val="18"/>
              </w:rPr>
              <w:t>Study sites/setting</w:t>
            </w:r>
          </w:p>
        </w:tc>
        <w:tc>
          <w:tcPr>
            <w:tcW w:w="7669" w:type="dxa"/>
          </w:tcPr>
          <w:p w14:paraId="47DFCA22" w14:textId="77777777" w:rsidR="002167EF" w:rsidRPr="002167EF" w:rsidRDefault="002167EF" w:rsidP="00713338">
            <w:pPr>
              <w:pStyle w:val="TableText"/>
              <w:rPr>
                <w:i/>
                <w:color w:val="auto"/>
                <w:sz w:val="18"/>
                <w:szCs w:val="18"/>
              </w:rPr>
            </w:pPr>
            <w:r w:rsidRPr="002167EF">
              <w:rPr>
                <w:rStyle w:val="Instructional"/>
                <w:i w:val="0"/>
                <w:color w:val="auto"/>
                <w:sz w:val="18"/>
                <w:szCs w:val="18"/>
              </w:rPr>
              <w:t xml:space="preserve">Manufacturing site laboratories, national reference laboratories, and academic laboratories </w:t>
            </w:r>
          </w:p>
        </w:tc>
      </w:tr>
      <w:tr w:rsidR="002167EF" w:rsidRPr="002167EF" w14:paraId="13759999" w14:textId="77777777" w:rsidTr="002167EF">
        <w:tc>
          <w:tcPr>
            <w:tcW w:w="1795" w:type="dxa"/>
          </w:tcPr>
          <w:p w14:paraId="77C9E88E" w14:textId="77777777" w:rsidR="002167EF" w:rsidRPr="002167EF" w:rsidRDefault="002167EF" w:rsidP="00713338">
            <w:pPr>
              <w:pStyle w:val="TableHeadings"/>
              <w:rPr>
                <w:sz w:val="18"/>
                <w:szCs w:val="18"/>
              </w:rPr>
            </w:pPr>
            <w:r w:rsidRPr="002167EF">
              <w:rPr>
                <w:sz w:val="18"/>
                <w:szCs w:val="18"/>
              </w:rPr>
              <w:t xml:space="preserve">Study population </w:t>
            </w:r>
          </w:p>
        </w:tc>
        <w:tc>
          <w:tcPr>
            <w:tcW w:w="7669" w:type="dxa"/>
          </w:tcPr>
          <w:p w14:paraId="17EB8C32" w14:textId="031F382F" w:rsidR="002167EF" w:rsidRPr="002167EF" w:rsidRDefault="002167EF" w:rsidP="00713338">
            <w:pPr>
              <w:pStyle w:val="TableText"/>
              <w:rPr>
                <w:rStyle w:val="Instructional"/>
                <w:i w:val="0"/>
                <w:color w:val="auto"/>
                <w:sz w:val="18"/>
                <w:szCs w:val="18"/>
              </w:rPr>
            </w:pPr>
            <w:r w:rsidRPr="002167EF">
              <w:rPr>
                <w:rStyle w:val="Instructional"/>
                <w:b/>
                <w:i w:val="0"/>
                <w:color w:val="auto"/>
                <w:sz w:val="18"/>
                <w:szCs w:val="18"/>
              </w:rPr>
              <w:t>Molecular assays:</w:t>
            </w:r>
            <w:r w:rsidRPr="002167EF">
              <w:rPr>
                <w:rStyle w:val="Instructional"/>
                <w:i w:val="0"/>
                <w:color w:val="auto"/>
                <w:sz w:val="18"/>
                <w:szCs w:val="18"/>
              </w:rPr>
              <w:t xml:space="preserve"> Qualification and analytical validation panel consisting of ZIKV RNA international standard; clinical panel consisting of leftover anonymized blood donor samples </w:t>
            </w:r>
          </w:p>
          <w:p w14:paraId="426E1056" w14:textId="18A4BE24" w:rsidR="002167EF" w:rsidRPr="002167EF" w:rsidRDefault="002167EF" w:rsidP="002167EF">
            <w:pPr>
              <w:pStyle w:val="TableText"/>
              <w:rPr>
                <w:i/>
                <w:color w:val="auto"/>
                <w:sz w:val="18"/>
                <w:szCs w:val="18"/>
              </w:rPr>
            </w:pPr>
            <w:r w:rsidRPr="002167EF">
              <w:rPr>
                <w:rStyle w:val="Instructional"/>
                <w:b/>
                <w:i w:val="0"/>
                <w:color w:val="auto"/>
                <w:sz w:val="18"/>
                <w:szCs w:val="18"/>
              </w:rPr>
              <w:t>Serology assays:</w:t>
            </w:r>
            <w:r w:rsidRPr="002167EF">
              <w:rPr>
                <w:rStyle w:val="Instructional"/>
                <w:i w:val="0"/>
                <w:color w:val="auto"/>
                <w:sz w:val="18"/>
                <w:szCs w:val="18"/>
              </w:rPr>
              <w:t xml:space="preserve"> Qualification panel and serology evaluation panels consisting of </w:t>
            </w:r>
            <w:r w:rsidRPr="002167EF">
              <w:rPr>
                <w:i/>
                <w:color w:val="auto"/>
                <w:sz w:val="18"/>
                <w:szCs w:val="18"/>
              </w:rPr>
              <w:t xml:space="preserve">leftover </w:t>
            </w:r>
            <w:r w:rsidRPr="002167EF">
              <w:rPr>
                <w:color w:val="auto"/>
                <w:sz w:val="18"/>
                <w:szCs w:val="18"/>
              </w:rPr>
              <w:t>blood donor samples and anti-ZIKV international standard</w:t>
            </w:r>
          </w:p>
        </w:tc>
      </w:tr>
      <w:tr w:rsidR="002167EF" w:rsidRPr="002167EF" w14:paraId="78C8B6DF" w14:textId="77777777" w:rsidTr="002167EF">
        <w:tc>
          <w:tcPr>
            <w:tcW w:w="1795" w:type="dxa"/>
          </w:tcPr>
          <w:p w14:paraId="21923AB5" w14:textId="77777777" w:rsidR="002167EF" w:rsidRPr="002167EF" w:rsidRDefault="002167EF" w:rsidP="00713338">
            <w:pPr>
              <w:pStyle w:val="TableHeadings"/>
              <w:rPr>
                <w:color w:val="auto"/>
                <w:sz w:val="18"/>
                <w:szCs w:val="18"/>
              </w:rPr>
            </w:pPr>
            <w:r w:rsidRPr="002167EF">
              <w:rPr>
                <w:color w:val="auto"/>
                <w:sz w:val="18"/>
                <w:szCs w:val="18"/>
              </w:rPr>
              <w:t xml:space="preserve">Study duration </w:t>
            </w:r>
          </w:p>
        </w:tc>
        <w:tc>
          <w:tcPr>
            <w:tcW w:w="7669" w:type="dxa"/>
          </w:tcPr>
          <w:p w14:paraId="01E2E71B" w14:textId="77777777" w:rsidR="002167EF" w:rsidRPr="002167EF" w:rsidRDefault="002167EF" w:rsidP="00713338">
            <w:pPr>
              <w:pStyle w:val="TableText"/>
              <w:rPr>
                <w:i/>
                <w:color w:val="auto"/>
                <w:sz w:val="18"/>
                <w:szCs w:val="18"/>
              </w:rPr>
            </w:pPr>
            <w:r w:rsidRPr="002167EF">
              <w:rPr>
                <w:rStyle w:val="Instructional"/>
                <w:i w:val="0"/>
                <w:color w:val="auto"/>
                <w:sz w:val="18"/>
                <w:szCs w:val="18"/>
              </w:rPr>
              <w:t>4 months</w:t>
            </w:r>
          </w:p>
        </w:tc>
      </w:tr>
      <w:tr w:rsidR="002167EF" w:rsidRPr="002167EF" w14:paraId="6AD69142" w14:textId="77777777" w:rsidTr="002167EF">
        <w:tc>
          <w:tcPr>
            <w:tcW w:w="1795" w:type="dxa"/>
          </w:tcPr>
          <w:p w14:paraId="471C6E78" w14:textId="77777777" w:rsidR="002167EF" w:rsidRPr="002167EF" w:rsidRDefault="002167EF" w:rsidP="00713338">
            <w:pPr>
              <w:pStyle w:val="TableHeadings"/>
              <w:rPr>
                <w:color w:val="auto"/>
                <w:sz w:val="18"/>
                <w:szCs w:val="18"/>
              </w:rPr>
            </w:pPr>
            <w:r w:rsidRPr="002167EF">
              <w:rPr>
                <w:color w:val="auto"/>
                <w:sz w:val="18"/>
                <w:szCs w:val="18"/>
              </w:rPr>
              <w:t>Time schedule</w:t>
            </w:r>
          </w:p>
        </w:tc>
        <w:tc>
          <w:tcPr>
            <w:tcW w:w="7669" w:type="dxa"/>
          </w:tcPr>
          <w:p w14:paraId="28C6B9E7" w14:textId="77777777" w:rsidR="002167EF" w:rsidRPr="002167EF" w:rsidRDefault="002167EF" w:rsidP="00713338">
            <w:pPr>
              <w:pStyle w:val="TableText"/>
              <w:rPr>
                <w:i/>
                <w:color w:val="auto"/>
                <w:sz w:val="18"/>
                <w:szCs w:val="18"/>
              </w:rPr>
            </w:pPr>
            <w:r w:rsidRPr="002167EF">
              <w:rPr>
                <w:rStyle w:val="Instructional"/>
                <w:i w:val="0"/>
                <w:color w:val="auto"/>
                <w:sz w:val="18"/>
                <w:szCs w:val="18"/>
              </w:rPr>
              <w:t>Start Q4 2019</w:t>
            </w:r>
          </w:p>
        </w:tc>
      </w:tr>
    </w:tbl>
    <w:p w14:paraId="306B6A18" w14:textId="77777777" w:rsidR="002167EF" w:rsidRPr="00071250" w:rsidRDefault="002167EF" w:rsidP="002167EF">
      <w:pPr>
        <w:spacing w:after="0" w:line="240" w:lineRule="auto"/>
        <w:rPr>
          <w:b/>
          <w:color w:val="5A2259" w:themeColor="accent1"/>
          <w:sz w:val="32"/>
          <w:szCs w:val="32"/>
          <w:lang w:val="en-US"/>
        </w:rPr>
      </w:pPr>
    </w:p>
    <w:p w14:paraId="0DAB97C1" w14:textId="77777777" w:rsidR="002167EF" w:rsidRDefault="002167EF" w:rsidP="009D430C">
      <w:pPr>
        <w:spacing w:after="0" w:line="240" w:lineRule="auto"/>
        <w:rPr>
          <w:lang w:val="en-US"/>
        </w:rPr>
      </w:pPr>
    </w:p>
    <w:sectPr w:rsidR="002167EF">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A338A" w16cid:durableId="20F5805F"/>
  <w16cid:commentId w16cid:paraId="54382A79" w16cid:durableId="20F5361E"/>
  <w16cid:commentId w16cid:paraId="6FAD7738" w16cid:durableId="20F536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98D36" w14:textId="77777777" w:rsidR="008C341A" w:rsidRDefault="008C341A" w:rsidP="00071250">
      <w:pPr>
        <w:spacing w:after="0" w:line="240" w:lineRule="auto"/>
      </w:pPr>
      <w:r>
        <w:separator/>
      </w:r>
    </w:p>
  </w:endnote>
  <w:endnote w:type="continuationSeparator" w:id="0">
    <w:p w14:paraId="7FB2E0C2" w14:textId="77777777" w:rsidR="008C341A" w:rsidRDefault="008C341A" w:rsidP="0007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A25E4" w14:textId="389FB96C" w:rsidR="00BE4444" w:rsidRDefault="00BE4444">
    <w:pPr>
      <w:pStyle w:val="Footer"/>
    </w:pPr>
    <w:r>
      <w:t xml:space="preserve">Version </w:t>
    </w:r>
    <w:r w:rsidR="002167EF">
      <w:t>04</w:t>
    </w:r>
    <w:r w:rsidR="009A27F0">
      <w:t xml:space="preserve"> </w:t>
    </w:r>
    <w:r w:rsidR="002167EF">
      <w:t>September</w:t>
    </w:r>
    <w:r w:rsidR="00FA33A6">
      <w:t xml:space="preserve"> 2019</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F9552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9552D">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817DC" w14:textId="77777777" w:rsidR="008C341A" w:rsidRDefault="008C341A" w:rsidP="00071250">
      <w:pPr>
        <w:spacing w:after="0" w:line="240" w:lineRule="auto"/>
      </w:pPr>
      <w:r>
        <w:separator/>
      </w:r>
    </w:p>
  </w:footnote>
  <w:footnote w:type="continuationSeparator" w:id="0">
    <w:p w14:paraId="63B147B1" w14:textId="77777777" w:rsidR="008C341A" w:rsidRDefault="008C341A" w:rsidP="0007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5B46" w14:textId="77777777" w:rsidR="00BE4444" w:rsidRDefault="00BE4444">
    <w:pPr>
      <w:pStyle w:val="Header"/>
    </w:pPr>
    <w:r w:rsidRPr="00365BF8">
      <w:rPr>
        <w:noProof/>
        <w:lang w:eastAsia="en-GB"/>
      </w:rPr>
      <w:drawing>
        <wp:inline distT="0" distB="0" distL="0" distR="0" wp14:anchorId="6CFB853B" wp14:editId="08330AE5">
          <wp:extent cx="1563833" cy="320040"/>
          <wp:effectExtent l="0" t="0" r="0" b="3810"/>
          <wp:docPr id="4" name="Picture 4" descr="\\intranet.finddx.org@SSL\DavWWWRoot\Document Center\FIND Geneva\Communications\Public\07_BRAND IDENTITY\FIND Logos\JPG_Colour\FIND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et.finddx.org@SSL\DavWWWRoot\Document Center\FIND Geneva\Communications\Public\07_BRAND IDENTITY\FIND Logos\JPG_Colour\FIND_Horizonta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833" cy="320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78A6"/>
    <w:multiLevelType w:val="multilevel"/>
    <w:tmpl w:val="189A486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 w15:restartNumberingAfterBreak="0">
    <w:nsid w:val="15DF3314"/>
    <w:multiLevelType w:val="hybridMultilevel"/>
    <w:tmpl w:val="F08E07F2"/>
    <w:lvl w:ilvl="0" w:tplc="A49A1E30">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83338"/>
    <w:multiLevelType w:val="hybridMultilevel"/>
    <w:tmpl w:val="5F92D292"/>
    <w:lvl w:ilvl="0" w:tplc="A49A1E3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76AC9"/>
    <w:multiLevelType w:val="hybridMultilevel"/>
    <w:tmpl w:val="EF48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50763"/>
    <w:multiLevelType w:val="multilevel"/>
    <w:tmpl w:val="1D76AD5E"/>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5" w15:restartNumberingAfterBreak="0">
    <w:nsid w:val="3D6A520B"/>
    <w:multiLevelType w:val="hybridMultilevel"/>
    <w:tmpl w:val="62C22D82"/>
    <w:lvl w:ilvl="0" w:tplc="F2880E28">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8C0B9F"/>
    <w:multiLevelType w:val="hybridMultilevel"/>
    <w:tmpl w:val="97308CFA"/>
    <w:lvl w:ilvl="0" w:tplc="C602E6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12A25"/>
    <w:multiLevelType w:val="hybridMultilevel"/>
    <w:tmpl w:val="6DBAFD48"/>
    <w:lvl w:ilvl="0" w:tplc="8460C9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B50CA"/>
    <w:multiLevelType w:val="hybridMultilevel"/>
    <w:tmpl w:val="55A8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821E7"/>
    <w:multiLevelType w:val="hybridMultilevel"/>
    <w:tmpl w:val="9272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393F1D"/>
    <w:multiLevelType w:val="hybridMultilevel"/>
    <w:tmpl w:val="B058D16C"/>
    <w:lvl w:ilvl="0" w:tplc="B0AAE8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D3213"/>
    <w:multiLevelType w:val="hybridMultilevel"/>
    <w:tmpl w:val="74928BFC"/>
    <w:lvl w:ilvl="0" w:tplc="8460C96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11"/>
  </w:num>
  <w:num w:numId="6">
    <w:abstractNumId w:val="3"/>
  </w:num>
  <w:num w:numId="7">
    <w:abstractNumId w:val="6"/>
  </w:num>
  <w:num w:numId="8">
    <w:abstractNumId w:val="10"/>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86FB46-096A-41B5-B416-7C0F8F32D112}"/>
    <w:docVar w:name="dgnword-eventsink" w:val="410315528"/>
  </w:docVars>
  <w:rsids>
    <w:rsidRoot w:val="00F0532C"/>
    <w:rsid w:val="00023403"/>
    <w:rsid w:val="00032E12"/>
    <w:rsid w:val="00065F3A"/>
    <w:rsid w:val="00071250"/>
    <w:rsid w:val="000954B2"/>
    <w:rsid w:val="000F36D5"/>
    <w:rsid w:val="00107BBC"/>
    <w:rsid w:val="00135BBE"/>
    <w:rsid w:val="001710E0"/>
    <w:rsid w:val="001D2FCE"/>
    <w:rsid w:val="001E3128"/>
    <w:rsid w:val="001F49A7"/>
    <w:rsid w:val="002004D1"/>
    <w:rsid w:val="00211112"/>
    <w:rsid w:val="002167EF"/>
    <w:rsid w:val="00261280"/>
    <w:rsid w:val="0027569E"/>
    <w:rsid w:val="002B1347"/>
    <w:rsid w:val="002B77C0"/>
    <w:rsid w:val="002D1199"/>
    <w:rsid w:val="002F02D4"/>
    <w:rsid w:val="002F2C4E"/>
    <w:rsid w:val="00323E28"/>
    <w:rsid w:val="003B0979"/>
    <w:rsid w:val="003D4EA8"/>
    <w:rsid w:val="00405448"/>
    <w:rsid w:val="004072F9"/>
    <w:rsid w:val="0045036C"/>
    <w:rsid w:val="00471A78"/>
    <w:rsid w:val="00484313"/>
    <w:rsid w:val="00487D44"/>
    <w:rsid w:val="004A75FA"/>
    <w:rsid w:val="004C68A9"/>
    <w:rsid w:val="004D062A"/>
    <w:rsid w:val="004D17D0"/>
    <w:rsid w:val="004D273B"/>
    <w:rsid w:val="004E6D0A"/>
    <w:rsid w:val="00513823"/>
    <w:rsid w:val="005404FF"/>
    <w:rsid w:val="005418AA"/>
    <w:rsid w:val="0054477D"/>
    <w:rsid w:val="00571B32"/>
    <w:rsid w:val="00580FD4"/>
    <w:rsid w:val="005F3B53"/>
    <w:rsid w:val="005F41A6"/>
    <w:rsid w:val="005F6409"/>
    <w:rsid w:val="00645ADD"/>
    <w:rsid w:val="00660816"/>
    <w:rsid w:val="00677988"/>
    <w:rsid w:val="00691D96"/>
    <w:rsid w:val="006A4B02"/>
    <w:rsid w:val="006B1306"/>
    <w:rsid w:val="006B4197"/>
    <w:rsid w:val="006C14AD"/>
    <w:rsid w:val="006D46BD"/>
    <w:rsid w:val="006D482D"/>
    <w:rsid w:val="00701C3D"/>
    <w:rsid w:val="00714869"/>
    <w:rsid w:val="00773409"/>
    <w:rsid w:val="007A41DA"/>
    <w:rsid w:val="007A6970"/>
    <w:rsid w:val="007D653E"/>
    <w:rsid w:val="007E24C8"/>
    <w:rsid w:val="007F6583"/>
    <w:rsid w:val="00837667"/>
    <w:rsid w:val="00845035"/>
    <w:rsid w:val="008631F1"/>
    <w:rsid w:val="00870C0B"/>
    <w:rsid w:val="00896C94"/>
    <w:rsid w:val="008B232D"/>
    <w:rsid w:val="008C341A"/>
    <w:rsid w:val="008F6B64"/>
    <w:rsid w:val="00913FC8"/>
    <w:rsid w:val="00926630"/>
    <w:rsid w:val="00947AD6"/>
    <w:rsid w:val="0095508E"/>
    <w:rsid w:val="00986163"/>
    <w:rsid w:val="009A27F0"/>
    <w:rsid w:val="009B0771"/>
    <w:rsid w:val="009B101B"/>
    <w:rsid w:val="009D430C"/>
    <w:rsid w:val="00A00315"/>
    <w:rsid w:val="00A331E4"/>
    <w:rsid w:val="00A83D5E"/>
    <w:rsid w:val="00A93100"/>
    <w:rsid w:val="00AA358A"/>
    <w:rsid w:val="00AA748F"/>
    <w:rsid w:val="00AC7251"/>
    <w:rsid w:val="00AD4D41"/>
    <w:rsid w:val="00AD6DDB"/>
    <w:rsid w:val="00AE76E9"/>
    <w:rsid w:val="00AF61FE"/>
    <w:rsid w:val="00B243CA"/>
    <w:rsid w:val="00B70507"/>
    <w:rsid w:val="00B91BFA"/>
    <w:rsid w:val="00BA413A"/>
    <w:rsid w:val="00BB0D92"/>
    <w:rsid w:val="00BC437F"/>
    <w:rsid w:val="00BE4444"/>
    <w:rsid w:val="00BF74E5"/>
    <w:rsid w:val="00C04BBC"/>
    <w:rsid w:val="00C240E3"/>
    <w:rsid w:val="00C2561C"/>
    <w:rsid w:val="00C42D24"/>
    <w:rsid w:val="00C51C86"/>
    <w:rsid w:val="00C52D0C"/>
    <w:rsid w:val="00C64027"/>
    <w:rsid w:val="00C9132A"/>
    <w:rsid w:val="00C9593D"/>
    <w:rsid w:val="00C97BDE"/>
    <w:rsid w:val="00CB466B"/>
    <w:rsid w:val="00CB4F0B"/>
    <w:rsid w:val="00CB5A86"/>
    <w:rsid w:val="00CD20DB"/>
    <w:rsid w:val="00CE5608"/>
    <w:rsid w:val="00CF7DBD"/>
    <w:rsid w:val="00D11A68"/>
    <w:rsid w:val="00D513D0"/>
    <w:rsid w:val="00DB7276"/>
    <w:rsid w:val="00DD5867"/>
    <w:rsid w:val="00E117D7"/>
    <w:rsid w:val="00E21BFD"/>
    <w:rsid w:val="00E32969"/>
    <w:rsid w:val="00E334C9"/>
    <w:rsid w:val="00E644AD"/>
    <w:rsid w:val="00E8617B"/>
    <w:rsid w:val="00E86518"/>
    <w:rsid w:val="00EB701D"/>
    <w:rsid w:val="00EC69A9"/>
    <w:rsid w:val="00ED5439"/>
    <w:rsid w:val="00EE15B8"/>
    <w:rsid w:val="00EF4717"/>
    <w:rsid w:val="00F0532C"/>
    <w:rsid w:val="00F26413"/>
    <w:rsid w:val="00F35C51"/>
    <w:rsid w:val="00F569E8"/>
    <w:rsid w:val="00F9552D"/>
    <w:rsid w:val="00FA33A6"/>
    <w:rsid w:val="00FD5230"/>
    <w:rsid w:val="00FD5A8F"/>
    <w:rsid w:val="00FE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B3AF"/>
  <w15:chartTrackingRefBased/>
  <w15:docId w15:val="{2D8DD527-66BA-49D1-87C4-ED73BD89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0532C"/>
    <w:pPr>
      <w:ind w:left="720"/>
      <w:contextualSpacing/>
    </w:pPr>
  </w:style>
  <w:style w:type="character" w:styleId="Hyperlink">
    <w:name w:val="Hyperlink"/>
    <w:basedOn w:val="DefaultParagraphFont"/>
    <w:uiPriority w:val="99"/>
    <w:unhideWhenUsed/>
    <w:rsid w:val="005F3B53"/>
    <w:rPr>
      <w:color w:val="0563C1" w:themeColor="hyperlink"/>
      <w:u w:val="single"/>
    </w:rPr>
  </w:style>
  <w:style w:type="paragraph" w:styleId="Header">
    <w:name w:val="header"/>
    <w:basedOn w:val="Normal"/>
    <w:link w:val="HeaderChar"/>
    <w:uiPriority w:val="99"/>
    <w:unhideWhenUsed/>
    <w:rsid w:val="00071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250"/>
  </w:style>
  <w:style w:type="paragraph" w:styleId="Footer">
    <w:name w:val="footer"/>
    <w:basedOn w:val="Normal"/>
    <w:link w:val="FooterChar"/>
    <w:uiPriority w:val="99"/>
    <w:unhideWhenUsed/>
    <w:rsid w:val="00071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250"/>
  </w:style>
  <w:style w:type="table" w:styleId="TableGrid">
    <w:name w:val="Table Grid"/>
    <w:basedOn w:val="TableNormal"/>
    <w:uiPriority w:val="59"/>
    <w:rsid w:val="00913FC8"/>
    <w:pPr>
      <w:spacing w:after="200" w:line="276" w:lineRule="auto"/>
    </w:pPr>
    <w:rPr>
      <w:rFonts w:eastAsia="Times New Roman"/>
      <w:lang w:val="en-IN" w:eastAsia="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
    <w:name w:val="instruction"/>
    <w:basedOn w:val="Normal"/>
    <w:next w:val="Normal"/>
    <w:autoRedefine/>
    <w:uiPriority w:val="99"/>
    <w:qFormat/>
    <w:rsid w:val="00913FC8"/>
    <w:pPr>
      <w:widowControl w:val="0"/>
      <w:spacing w:after="200" w:line="276" w:lineRule="auto"/>
      <w:jc w:val="both"/>
    </w:pPr>
    <w:rPr>
      <w:rFonts w:eastAsia="Times New Roman" w:cs="Arial"/>
      <w:bCs/>
      <w:iCs/>
      <w:lang w:eastAsia="ja-JP" w:bidi="hi-IN"/>
    </w:rPr>
  </w:style>
  <w:style w:type="character" w:customStyle="1" w:styleId="ListParagraphChar">
    <w:name w:val="List Paragraph Char"/>
    <w:basedOn w:val="DefaultParagraphFont"/>
    <w:link w:val="ListParagraph"/>
    <w:uiPriority w:val="34"/>
    <w:locked/>
    <w:rsid w:val="00913FC8"/>
  </w:style>
  <w:style w:type="paragraph" w:styleId="NoSpacing">
    <w:name w:val="No Spacing"/>
    <w:uiPriority w:val="1"/>
    <w:qFormat/>
    <w:rsid w:val="00913FC8"/>
    <w:pPr>
      <w:spacing w:after="0" w:line="240" w:lineRule="auto"/>
    </w:pPr>
    <w:rPr>
      <w:rFonts w:eastAsiaTheme="minorEastAsia"/>
      <w:lang w:val="en-IN" w:eastAsia="en-IN"/>
    </w:rPr>
  </w:style>
  <w:style w:type="character" w:styleId="CommentReference">
    <w:name w:val="annotation reference"/>
    <w:basedOn w:val="DefaultParagraphFont"/>
    <w:uiPriority w:val="99"/>
    <w:semiHidden/>
    <w:unhideWhenUsed/>
    <w:rsid w:val="005F6409"/>
    <w:rPr>
      <w:sz w:val="16"/>
      <w:szCs w:val="16"/>
    </w:rPr>
  </w:style>
  <w:style w:type="paragraph" w:styleId="CommentText">
    <w:name w:val="annotation text"/>
    <w:basedOn w:val="Normal"/>
    <w:link w:val="CommentTextChar"/>
    <w:uiPriority w:val="99"/>
    <w:semiHidden/>
    <w:unhideWhenUsed/>
    <w:rsid w:val="005F6409"/>
    <w:pPr>
      <w:spacing w:line="240" w:lineRule="auto"/>
    </w:pPr>
    <w:rPr>
      <w:sz w:val="20"/>
      <w:szCs w:val="20"/>
    </w:rPr>
  </w:style>
  <w:style w:type="character" w:customStyle="1" w:styleId="CommentTextChar">
    <w:name w:val="Comment Text Char"/>
    <w:basedOn w:val="DefaultParagraphFont"/>
    <w:link w:val="CommentText"/>
    <w:uiPriority w:val="99"/>
    <w:semiHidden/>
    <w:rsid w:val="005F6409"/>
    <w:rPr>
      <w:sz w:val="20"/>
      <w:szCs w:val="20"/>
    </w:rPr>
  </w:style>
  <w:style w:type="paragraph" w:styleId="CommentSubject">
    <w:name w:val="annotation subject"/>
    <w:basedOn w:val="CommentText"/>
    <w:next w:val="CommentText"/>
    <w:link w:val="CommentSubjectChar"/>
    <w:uiPriority w:val="99"/>
    <w:semiHidden/>
    <w:unhideWhenUsed/>
    <w:rsid w:val="005F6409"/>
    <w:rPr>
      <w:b/>
      <w:bCs/>
    </w:rPr>
  </w:style>
  <w:style w:type="character" w:customStyle="1" w:styleId="CommentSubjectChar">
    <w:name w:val="Comment Subject Char"/>
    <w:basedOn w:val="CommentTextChar"/>
    <w:link w:val="CommentSubject"/>
    <w:uiPriority w:val="99"/>
    <w:semiHidden/>
    <w:rsid w:val="005F6409"/>
    <w:rPr>
      <w:b/>
      <w:bCs/>
      <w:sz w:val="20"/>
      <w:szCs w:val="20"/>
    </w:rPr>
  </w:style>
  <w:style w:type="paragraph" w:styleId="BalloonText">
    <w:name w:val="Balloon Text"/>
    <w:basedOn w:val="Normal"/>
    <w:link w:val="BalloonTextChar"/>
    <w:uiPriority w:val="99"/>
    <w:semiHidden/>
    <w:unhideWhenUsed/>
    <w:rsid w:val="005F6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409"/>
    <w:rPr>
      <w:rFonts w:ascii="Segoe UI" w:hAnsi="Segoe UI" w:cs="Segoe UI"/>
      <w:sz w:val="18"/>
      <w:szCs w:val="18"/>
    </w:rPr>
  </w:style>
  <w:style w:type="paragraph" w:customStyle="1" w:styleId="TableText">
    <w:name w:val="Table Text"/>
    <w:basedOn w:val="Normal"/>
    <w:link w:val="TableTextChar"/>
    <w:qFormat/>
    <w:rsid w:val="002167EF"/>
    <w:pPr>
      <w:tabs>
        <w:tab w:val="left" w:pos="1440"/>
      </w:tabs>
      <w:spacing w:before="100" w:after="100" w:line="240" w:lineRule="auto"/>
    </w:pPr>
    <w:rPr>
      <w:rFonts w:ascii="Arial" w:eastAsia="Times New Roman" w:hAnsi="Arial" w:cs="Times New Roman"/>
      <w:bCs/>
      <w:color w:val="000000"/>
      <w:sz w:val="20"/>
      <w:szCs w:val="20"/>
    </w:rPr>
  </w:style>
  <w:style w:type="character" w:customStyle="1" w:styleId="TableTextChar">
    <w:name w:val="Table Text Char"/>
    <w:link w:val="TableText"/>
    <w:rsid w:val="002167EF"/>
    <w:rPr>
      <w:rFonts w:ascii="Arial" w:eastAsia="Times New Roman" w:hAnsi="Arial" w:cs="Times New Roman"/>
      <w:bCs/>
      <w:color w:val="000000"/>
      <w:sz w:val="20"/>
      <w:szCs w:val="20"/>
    </w:rPr>
  </w:style>
  <w:style w:type="paragraph" w:customStyle="1" w:styleId="TableHeadings">
    <w:name w:val="Table Headings"/>
    <w:basedOn w:val="Normal"/>
    <w:qFormat/>
    <w:rsid w:val="002167EF"/>
    <w:pPr>
      <w:keepNext/>
      <w:tabs>
        <w:tab w:val="left" w:pos="1440"/>
      </w:tabs>
      <w:spacing w:before="120" w:after="120" w:line="240" w:lineRule="auto"/>
    </w:pPr>
    <w:rPr>
      <w:rFonts w:ascii="Arial" w:eastAsiaTheme="minorEastAsia" w:hAnsi="Arial"/>
      <w:b/>
      <w:bCs/>
      <w:color w:val="000000"/>
      <w:sz w:val="21"/>
      <w:lang w:eastAsia="en-IN"/>
    </w:rPr>
  </w:style>
  <w:style w:type="character" w:customStyle="1" w:styleId="Instructional">
    <w:name w:val="Instructional"/>
    <w:basedOn w:val="DefaultParagraphFont"/>
    <w:uiPriority w:val="1"/>
    <w:qFormat/>
    <w:rsid w:val="002167EF"/>
    <w:rPr>
      <w:rFonts w:ascii="Arial" w:hAnsi="Arial"/>
      <w:i/>
      <w:color w:val="7F7F7F" w:themeColor="text1" w:themeTint="80"/>
      <w:sz w:val="20"/>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y.emperador@finddx.org"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ssandra.kelly@finddx.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evy.emperador@finddx.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IND Brand">
      <a:dk1>
        <a:sysClr val="windowText" lastClr="000000"/>
      </a:dk1>
      <a:lt1>
        <a:sysClr val="window" lastClr="FFFFFF"/>
      </a:lt1>
      <a:dk2>
        <a:srgbClr val="44546A"/>
      </a:dk2>
      <a:lt2>
        <a:srgbClr val="E7E6E6"/>
      </a:lt2>
      <a:accent1>
        <a:srgbClr val="5A2259"/>
      </a:accent1>
      <a:accent2>
        <a:srgbClr val="43ABB6"/>
      </a:accent2>
      <a:accent3>
        <a:srgbClr val="8C9EAB"/>
      </a:accent3>
      <a:accent4>
        <a:srgbClr val="CD4652"/>
      </a:accent4>
      <a:accent5>
        <a:srgbClr val="D3553F"/>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90392F5457D4FB8DFF3C76C722EE8" ma:contentTypeVersion="4" ma:contentTypeDescription="Create a new document." ma:contentTypeScope="" ma:versionID="4b0034f2bcad660de7f4ccc32c8661c2">
  <xsd:schema xmlns:xsd="http://www.w3.org/2001/XMLSchema" xmlns:xs="http://www.w3.org/2001/XMLSchema" xmlns:p="http://schemas.microsoft.com/office/2006/metadata/properties" xmlns:ns2="bdd9093d-d497-4070-92ea-5faf0aa8685a" targetNamespace="http://schemas.microsoft.com/office/2006/metadata/properties" ma:root="true" ma:fieldsID="34fcf8ad56dda5f3e91e73d9f6eff87e" ns2:_="">
    <xsd:import namespace="bdd9093d-d497-4070-92ea-5faf0aa8685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9093d-d497-4070-92ea-5faf0aa868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13EDF-CCD7-4C46-A977-3578A26B41AC}"/>
</file>

<file path=customXml/itemProps2.xml><?xml version="1.0" encoding="utf-8"?>
<ds:datastoreItem xmlns:ds="http://schemas.openxmlformats.org/officeDocument/2006/customXml" ds:itemID="{50F736D3-699E-4290-8496-EC2AF708FF2C}"/>
</file>

<file path=customXml/itemProps3.xml><?xml version="1.0" encoding="utf-8"?>
<ds:datastoreItem xmlns:ds="http://schemas.openxmlformats.org/officeDocument/2006/customXml" ds:itemID="{FA56F1FF-5E14-42D3-8C6E-D4B23D8DF489}"/>
</file>

<file path=customXml/itemProps4.xml><?xml version="1.0" encoding="utf-8"?>
<ds:datastoreItem xmlns:ds="http://schemas.openxmlformats.org/officeDocument/2006/customXml" ds:itemID="{D2937EE4-4CB4-4E7E-9FE3-2F58B28AA094}"/>
</file>

<file path=docProps/app.xml><?xml version="1.0" encoding="utf-8"?>
<Properties xmlns="http://schemas.openxmlformats.org/officeDocument/2006/extended-properties" xmlns:vt="http://schemas.openxmlformats.org/officeDocument/2006/docPropsVTypes">
  <Template>Normal.dotm</Template>
  <TotalTime>1033</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Devy Emperador</dc:creator>
  <cp:keywords/>
  <dc:description/>
  <cp:lastModifiedBy>Devy Emperador</cp:lastModifiedBy>
  <cp:revision>37</cp:revision>
  <dcterms:created xsi:type="dcterms:W3CDTF">2019-08-07T09:38:00Z</dcterms:created>
  <dcterms:modified xsi:type="dcterms:W3CDTF">2019-09-27T09:21:00Z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0x01010020390392F5457D4FB8DFF3C76C722EE8</vt:lpwstr>
  </property>
</Properties>
</file>