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3868" w14:textId="77777777" w:rsidR="00821394" w:rsidRPr="00C76D9A" w:rsidRDefault="00821394" w:rsidP="00821394">
      <w:pPr>
        <w:spacing w:after="0" w:line="240" w:lineRule="auto"/>
        <w:rPr>
          <w:b/>
          <w:color w:val="5A2259" w:themeColor="accent1"/>
          <w:sz w:val="32"/>
          <w:szCs w:val="32"/>
          <w:lang w:val="en-US"/>
        </w:rPr>
      </w:pPr>
      <w:r w:rsidRPr="00071250">
        <w:rPr>
          <w:b/>
          <w:color w:val="5A2259" w:themeColor="accent1"/>
          <w:sz w:val="32"/>
          <w:szCs w:val="32"/>
          <w:lang w:val="en-US"/>
        </w:rPr>
        <w:t xml:space="preserve">Call for </w:t>
      </w:r>
      <w:r>
        <w:rPr>
          <w:b/>
          <w:color w:val="5A2259" w:themeColor="accent1"/>
          <w:sz w:val="32"/>
          <w:szCs w:val="32"/>
          <w:lang w:val="en-US"/>
        </w:rPr>
        <w:t>partners</w:t>
      </w:r>
      <w:r w:rsidRPr="00071250">
        <w:rPr>
          <w:b/>
          <w:color w:val="5A2259" w:themeColor="accent1"/>
          <w:sz w:val="32"/>
          <w:szCs w:val="32"/>
          <w:lang w:val="en-US"/>
        </w:rPr>
        <w:t xml:space="preserve">: </w:t>
      </w:r>
      <w:r>
        <w:rPr>
          <w:b/>
          <w:color w:val="5A2259" w:themeColor="accent1"/>
          <w:sz w:val="32"/>
          <w:szCs w:val="32"/>
          <w:lang w:val="en-US"/>
        </w:rPr>
        <w:t xml:space="preserve">Sample sharing for FIND-WHO Initiative to conduct standardized evaluation of </w:t>
      </w:r>
      <w:proofErr w:type="spellStart"/>
      <w:r>
        <w:rPr>
          <w:b/>
          <w:color w:val="5A2259" w:themeColor="accent1"/>
          <w:sz w:val="32"/>
          <w:szCs w:val="32"/>
          <w:lang w:val="en-US"/>
        </w:rPr>
        <w:t>Zika</w:t>
      </w:r>
      <w:proofErr w:type="spellEnd"/>
      <w:r>
        <w:rPr>
          <w:b/>
          <w:color w:val="5A2259" w:themeColor="accent1"/>
          <w:sz w:val="32"/>
          <w:szCs w:val="32"/>
          <w:lang w:val="en-US"/>
        </w:rPr>
        <w:t xml:space="preserve"> Diagnostics </w:t>
      </w:r>
      <w:r w:rsidRPr="00071250">
        <w:rPr>
          <w:b/>
          <w:color w:val="5A2259" w:themeColor="accent1"/>
          <w:sz w:val="32"/>
          <w:szCs w:val="32"/>
          <w:lang w:val="en-US"/>
        </w:rPr>
        <w:t xml:space="preserve"> </w:t>
      </w:r>
    </w:p>
    <w:p w14:paraId="1F85444E" w14:textId="77777777" w:rsidR="00821394" w:rsidRDefault="00821394" w:rsidP="00AA748F">
      <w:pPr>
        <w:spacing w:after="0" w:line="240" w:lineRule="auto"/>
        <w:rPr>
          <w:b/>
          <w:color w:val="43ABB6" w:themeColor="accent2"/>
          <w:sz w:val="24"/>
          <w:szCs w:val="24"/>
          <w:lang w:val="en-US"/>
        </w:rPr>
      </w:pPr>
    </w:p>
    <w:p w14:paraId="6E340F13" w14:textId="77777777" w:rsidR="00F0532C" w:rsidRPr="00071250" w:rsidRDefault="00071250" w:rsidP="00AA748F">
      <w:pPr>
        <w:spacing w:after="0" w:line="240" w:lineRule="auto"/>
        <w:rPr>
          <w:b/>
          <w:color w:val="43ABB6" w:themeColor="accent2"/>
          <w:sz w:val="24"/>
          <w:szCs w:val="24"/>
          <w:lang w:val="en-US"/>
        </w:rPr>
      </w:pPr>
      <w:r w:rsidRPr="00071250">
        <w:rPr>
          <w:b/>
          <w:color w:val="43ABB6" w:themeColor="accent2"/>
          <w:sz w:val="24"/>
          <w:szCs w:val="24"/>
          <w:lang w:val="en-US"/>
        </w:rPr>
        <w:t>BACKGROUND</w:t>
      </w:r>
    </w:p>
    <w:p w14:paraId="3A76A19E" w14:textId="4835C3DC" w:rsidR="00AF61FE" w:rsidRDefault="00E117D7" w:rsidP="00E117D7">
      <w:pPr>
        <w:spacing w:after="0" w:line="240" w:lineRule="auto"/>
      </w:pPr>
      <w:r>
        <w:t xml:space="preserve">FIND is a global non-profit organization dedicated to accelerating the development, evaluation, and delivery of high-quality, affordable diagnostic tests for poverty-related diseases. Recently, </w:t>
      </w:r>
      <w:r w:rsidR="00AF61FE">
        <w:t xml:space="preserve">FIND is leading a FIND-WHO initiative to conduct a standardized evaluation of currently available molecular and immunologic diagnostic tests for </w:t>
      </w:r>
      <w:proofErr w:type="spellStart"/>
      <w:r w:rsidR="00821394">
        <w:t>Zika</w:t>
      </w:r>
      <w:proofErr w:type="spellEnd"/>
      <w:r w:rsidR="00821394">
        <w:t xml:space="preserve"> virus (</w:t>
      </w:r>
      <w:r w:rsidR="00AF61FE">
        <w:t>ZIKV</w:t>
      </w:r>
      <w:r w:rsidR="00821394">
        <w:t>)</w:t>
      </w:r>
      <w:r w:rsidR="00AF61FE">
        <w:t xml:space="preserve"> in order to assess test performance and thereby better inform public health policy, surveillance programs, and clinical management of patients with suspected ZIKV infection. </w:t>
      </w:r>
    </w:p>
    <w:p w14:paraId="7D46F6C3" w14:textId="77777777" w:rsidR="00AF61FE" w:rsidRDefault="00AF61FE" w:rsidP="00E117D7">
      <w:pPr>
        <w:spacing w:after="0" w:line="240" w:lineRule="auto"/>
      </w:pPr>
    </w:p>
    <w:p w14:paraId="6DB9DF0F" w14:textId="305F0D30" w:rsidR="00AA748F" w:rsidRDefault="00821394" w:rsidP="00AA748F">
      <w:pPr>
        <w:spacing w:after="0" w:line="240" w:lineRule="auto"/>
      </w:pPr>
      <w:proofErr w:type="spellStart"/>
      <w:r>
        <w:t>Zika</w:t>
      </w:r>
      <w:proofErr w:type="spellEnd"/>
      <w:r>
        <w:t xml:space="preserve"> virus</w:t>
      </w:r>
      <w:r w:rsidR="00AF61FE" w:rsidRPr="00AF61FE">
        <w:t>, once considered a cause of rare and mild infection, emerged in 2015-2016 as the cause of a global epidemic, with demonstrated capaci</w:t>
      </w:r>
      <w:r>
        <w:t>ty for rapid global spread and</w:t>
      </w:r>
      <w:r w:rsidR="00AF61FE" w:rsidRPr="00AF61FE">
        <w:t xml:space="preserve"> cause of birth defects, other adverse pregnancy outcomes, and </w:t>
      </w:r>
      <w:proofErr w:type="spellStart"/>
      <w:r w:rsidR="00AF61FE" w:rsidRPr="00AF61FE">
        <w:t>Guillain-Barré</w:t>
      </w:r>
      <w:proofErr w:type="spellEnd"/>
      <w:r w:rsidR="00AF61FE" w:rsidRPr="00AF61FE">
        <w:t xml:space="preserve"> syndrome. In response, WHO declared </w:t>
      </w:r>
      <w:proofErr w:type="spellStart"/>
      <w:r w:rsidR="00AF61FE" w:rsidRPr="00AF61FE">
        <w:t>Zika</w:t>
      </w:r>
      <w:proofErr w:type="spellEnd"/>
      <w:r w:rsidR="00AF61FE" w:rsidRPr="00AF61FE">
        <w:t xml:space="preserve"> virus and its associated complications a Public Health Emergency of International Concern (PHEIC), and subsequently committed to a long-term program for ZIKV preparedness, prevention, and control. </w:t>
      </w:r>
      <w:r>
        <w:t>However, d</w:t>
      </w:r>
      <w:r w:rsidR="00AF61FE" w:rsidRPr="00AF61FE">
        <w:t>espite the surge of research and development of ZIKV diagnostics, there is limited data on the optimal approach to ZIKV diagnostic testing.</w:t>
      </w:r>
    </w:p>
    <w:p w14:paraId="70B75F37" w14:textId="77777777" w:rsidR="00AA748F" w:rsidRDefault="00AA748F" w:rsidP="00AA748F">
      <w:pPr>
        <w:spacing w:after="0" w:line="240" w:lineRule="auto"/>
        <w:rPr>
          <w:lang w:val="en-US"/>
        </w:rPr>
      </w:pPr>
    </w:p>
    <w:p w14:paraId="45CCA4EF" w14:textId="1E0F6DB4" w:rsidR="00F0532C" w:rsidRDefault="00E117D7" w:rsidP="00AA748F">
      <w:pPr>
        <w:spacing w:after="0" w:line="240" w:lineRule="auto"/>
        <w:rPr>
          <w:lang w:val="en-US"/>
        </w:rPr>
      </w:pPr>
      <w:r>
        <w:rPr>
          <w:lang w:val="en-US"/>
        </w:rPr>
        <w:t xml:space="preserve">This </w:t>
      </w:r>
      <w:r w:rsidR="00F51976">
        <w:rPr>
          <w:lang w:val="en-US"/>
        </w:rPr>
        <w:t>call for partners</w:t>
      </w:r>
      <w:r w:rsidR="00677988">
        <w:rPr>
          <w:lang w:val="en-US"/>
        </w:rPr>
        <w:t xml:space="preserve"> is issued by FIND </w:t>
      </w:r>
      <w:r w:rsidR="00C77AD6">
        <w:rPr>
          <w:lang w:val="en-US"/>
        </w:rPr>
        <w:t>to support the development of evaluation panels</w:t>
      </w:r>
      <w:r w:rsidR="00F80F4D">
        <w:rPr>
          <w:lang w:val="en-US"/>
        </w:rPr>
        <w:t xml:space="preserve"> for the evaluation of available, commercial ZIKV diagnostics</w:t>
      </w:r>
      <w:r w:rsidR="00C77AD6">
        <w:rPr>
          <w:lang w:val="en-US"/>
        </w:rPr>
        <w:t xml:space="preserve"> and </w:t>
      </w:r>
      <w:r w:rsidR="003C3D96">
        <w:rPr>
          <w:lang w:val="en-US"/>
        </w:rPr>
        <w:t xml:space="preserve">sample sharing </w:t>
      </w:r>
      <w:r w:rsidR="00F80F4D">
        <w:rPr>
          <w:lang w:val="en-US"/>
        </w:rPr>
        <w:t>to</w:t>
      </w:r>
      <w:r w:rsidR="003C3D96">
        <w:rPr>
          <w:lang w:val="en-US"/>
        </w:rPr>
        <w:t xml:space="preserve"> further </w:t>
      </w:r>
      <w:r w:rsidR="00F80F4D">
        <w:rPr>
          <w:lang w:val="en-US"/>
        </w:rPr>
        <w:t xml:space="preserve">future </w:t>
      </w:r>
      <w:r w:rsidR="003C3D96">
        <w:rPr>
          <w:lang w:val="en-US"/>
        </w:rPr>
        <w:t xml:space="preserve">ZIKV and arbovirus research. </w:t>
      </w:r>
      <w:r w:rsidR="00F51976">
        <w:rPr>
          <w:lang w:val="en-US"/>
        </w:rPr>
        <w:t>The development of reference panels with well-characterized samples supports analytical and clinical validation of diagnostic results. Similarly, access to samples can support future panel development, which will be readily available to researchers worldwide.</w:t>
      </w:r>
    </w:p>
    <w:p w14:paraId="56E04AA7" w14:textId="77777777" w:rsidR="00AA748F" w:rsidRPr="00F0532C" w:rsidRDefault="00AA748F" w:rsidP="00AA748F">
      <w:pPr>
        <w:spacing w:after="0" w:line="240" w:lineRule="auto"/>
        <w:rPr>
          <w:lang w:val="en-US"/>
        </w:rPr>
      </w:pPr>
    </w:p>
    <w:p w14:paraId="2993B6C8" w14:textId="26EB9922" w:rsidR="00BE4444" w:rsidRPr="00071250" w:rsidRDefault="003C3D96" w:rsidP="00AA748F">
      <w:pPr>
        <w:spacing w:after="0" w:line="240" w:lineRule="auto"/>
        <w:rPr>
          <w:b/>
          <w:color w:val="43ABB6" w:themeColor="accent2"/>
          <w:sz w:val="24"/>
          <w:szCs w:val="24"/>
          <w:lang w:val="en-US"/>
        </w:rPr>
      </w:pPr>
      <w:r>
        <w:rPr>
          <w:b/>
          <w:color w:val="43ABB6" w:themeColor="accent2"/>
          <w:sz w:val="24"/>
          <w:szCs w:val="24"/>
          <w:lang w:val="en-US"/>
        </w:rPr>
        <w:t xml:space="preserve">OBJECTIVES AND PARTNER REQUIREMENTS </w:t>
      </w:r>
    </w:p>
    <w:p w14:paraId="190170DC" w14:textId="098DF3C1" w:rsidR="00AA748F" w:rsidRPr="006D482D" w:rsidRDefault="00C77AD6" w:rsidP="006D482D">
      <w:pPr>
        <w:spacing w:after="0" w:line="240" w:lineRule="auto"/>
        <w:rPr>
          <w:i/>
          <w:lang w:val="en-US"/>
        </w:rPr>
      </w:pPr>
      <w:r>
        <w:rPr>
          <w:i/>
          <w:lang w:val="en-US"/>
        </w:rPr>
        <w:t>Objective of the call</w:t>
      </w:r>
      <w:r w:rsidR="00323E28">
        <w:rPr>
          <w:i/>
          <w:lang w:val="en-US"/>
        </w:rPr>
        <w:t xml:space="preserve">: </w:t>
      </w:r>
      <w:r w:rsidR="003C3D96">
        <w:rPr>
          <w:lang w:val="en-US"/>
        </w:rPr>
        <w:t xml:space="preserve">To collect information on ZIKV (and other arbovirus) samples for inclusion into evaluation panels and development of a framework for sample sharing.   </w:t>
      </w:r>
    </w:p>
    <w:p w14:paraId="67536570" w14:textId="77777777" w:rsidR="00323E28" w:rsidRDefault="00323E28" w:rsidP="00323E28">
      <w:pPr>
        <w:spacing w:after="0" w:line="240" w:lineRule="auto"/>
        <w:rPr>
          <w:u w:val="single"/>
          <w:lang w:val="en-US"/>
        </w:rPr>
      </w:pPr>
    </w:p>
    <w:p w14:paraId="3DA08AFD" w14:textId="77988F0F" w:rsidR="00C77AD6" w:rsidRDefault="00C77AD6" w:rsidP="0045036C">
      <w:pPr>
        <w:spacing w:after="0" w:line="240" w:lineRule="auto"/>
        <w:rPr>
          <w:i/>
          <w:lang w:val="en-US"/>
        </w:rPr>
      </w:pPr>
      <w:r>
        <w:rPr>
          <w:i/>
          <w:lang w:val="en-US"/>
        </w:rPr>
        <w:t>Sample requirements</w:t>
      </w:r>
    </w:p>
    <w:p w14:paraId="6EA4066F" w14:textId="4E11E3DC" w:rsidR="00A8164F" w:rsidRPr="005C7E67" w:rsidRDefault="00C77AD6" w:rsidP="005C7E67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Well characterized samples from persons previously infected with ZIKV, either through an existing biorepository or partnership w</w:t>
      </w:r>
      <w:r w:rsidR="00C82C18">
        <w:rPr>
          <w:lang w:val="en-US"/>
        </w:rPr>
        <w:t xml:space="preserve">ith hospitals or health centers </w:t>
      </w:r>
    </w:p>
    <w:p w14:paraId="5AED9861" w14:textId="4009118C" w:rsidR="00C77AD6" w:rsidRDefault="00C77AD6" w:rsidP="00C77AD6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Adequate sample volume (at least </w:t>
      </w:r>
      <w:r w:rsidR="00A31F49">
        <w:rPr>
          <w:lang w:val="en-US"/>
        </w:rPr>
        <w:t>1.0</w:t>
      </w:r>
      <w:r>
        <w:rPr>
          <w:lang w:val="en-US"/>
        </w:rPr>
        <w:t xml:space="preserve"> ml) </w:t>
      </w:r>
    </w:p>
    <w:p w14:paraId="3167309A" w14:textId="138788F4" w:rsidR="00C77AD6" w:rsidRDefault="00C77AD6" w:rsidP="00C77AD6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Sample types: serum, whole blood, and/or plasma </w:t>
      </w:r>
    </w:p>
    <w:p w14:paraId="41CE37CC" w14:textId="0C06E3A1" w:rsidR="00C77AD6" w:rsidRPr="00C77AD6" w:rsidRDefault="00C77AD6" w:rsidP="00C77AD6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Information about confirmatory assay(s) used </w:t>
      </w:r>
    </w:p>
    <w:p w14:paraId="3AF1DA82" w14:textId="77777777" w:rsidR="00C77AD6" w:rsidRDefault="00C77AD6" w:rsidP="00C77AD6">
      <w:pPr>
        <w:spacing w:after="0" w:line="240" w:lineRule="auto"/>
        <w:rPr>
          <w:lang w:val="en-US"/>
        </w:rPr>
      </w:pPr>
    </w:p>
    <w:p w14:paraId="00938E41" w14:textId="37C4FF39" w:rsidR="00C77AD6" w:rsidRPr="00C77AD6" w:rsidRDefault="00C77AD6" w:rsidP="00C77AD6">
      <w:pPr>
        <w:spacing w:after="0" w:line="240" w:lineRule="auto"/>
        <w:rPr>
          <w:lang w:val="en-US"/>
        </w:rPr>
      </w:pPr>
      <w:r>
        <w:rPr>
          <w:i/>
          <w:lang w:val="en-US"/>
        </w:rPr>
        <w:t>Partner requirements</w:t>
      </w:r>
    </w:p>
    <w:p w14:paraId="13BD961A" w14:textId="77777777" w:rsidR="00CB466B" w:rsidRDefault="001F49A7" w:rsidP="00CB466B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Ability to enter into agreement with FIND (legal </w:t>
      </w:r>
      <w:r w:rsidR="002D1199">
        <w:rPr>
          <w:lang w:val="en-US"/>
        </w:rPr>
        <w:t>entity</w:t>
      </w:r>
      <w:r>
        <w:rPr>
          <w:lang w:val="en-US"/>
        </w:rPr>
        <w:t xml:space="preserve"> or operating under a legal entity)</w:t>
      </w:r>
    </w:p>
    <w:p w14:paraId="7C4369ED" w14:textId="37426CEC" w:rsidR="00C82C18" w:rsidRPr="00C82C18" w:rsidRDefault="00C77AD6" w:rsidP="00C82C18">
      <w:pPr>
        <w:pStyle w:val="ListParagraph"/>
        <w:numPr>
          <w:ilvl w:val="0"/>
          <w:numId w:val="5"/>
        </w:numPr>
        <w:ind w:left="720"/>
        <w:rPr>
          <w:lang w:val="en-US"/>
        </w:rPr>
      </w:pPr>
      <w:r>
        <w:rPr>
          <w:lang w:val="en-US"/>
        </w:rPr>
        <w:t xml:space="preserve">Ability to export samples to our partner, </w:t>
      </w:r>
      <w:proofErr w:type="spellStart"/>
      <w:r>
        <w:rPr>
          <w:lang w:val="en-US"/>
        </w:rPr>
        <w:t>Vitalant</w:t>
      </w:r>
      <w:proofErr w:type="spellEnd"/>
      <w:r>
        <w:rPr>
          <w:lang w:val="en-US"/>
        </w:rPr>
        <w:t xml:space="preserve"> Research Institute</w:t>
      </w:r>
      <w:r w:rsidR="003C3D96">
        <w:rPr>
          <w:lang w:val="en-US"/>
        </w:rPr>
        <w:t xml:space="preserve"> (VRI)</w:t>
      </w:r>
      <w:r>
        <w:rPr>
          <w:lang w:val="en-US"/>
        </w:rPr>
        <w:t>,</w:t>
      </w:r>
      <w:r w:rsidR="00663AB0">
        <w:rPr>
          <w:lang w:val="en-US"/>
        </w:rPr>
        <w:t xml:space="preserve"> in the U.S. </w:t>
      </w:r>
    </w:p>
    <w:p w14:paraId="490E22D9" w14:textId="07FDB6D2" w:rsidR="00663AB0" w:rsidRPr="00663AB0" w:rsidRDefault="000B49AF" w:rsidP="00663AB0">
      <w:pPr>
        <w:pStyle w:val="ListParagraph"/>
        <w:numPr>
          <w:ilvl w:val="0"/>
          <w:numId w:val="5"/>
        </w:numPr>
        <w:ind w:left="720"/>
        <w:rPr>
          <w:lang w:val="en-US"/>
        </w:rPr>
      </w:pPr>
      <w:r>
        <w:rPr>
          <w:lang w:val="en-US"/>
        </w:rPr>
        <w:t xml:space="preserve">Willingness to </w:t>
      </w:r>
      <w:r w:rsidR="003C3D96" w:rsidRPr="00663AB0">
        <w:rPr>
          <w:lang w:val="en-US"/>
        </w:rPr>
        <w:t xml:space="preserve">sharing </w:t>
      </w:r>
      <w:r>
        <w:rPr>
          <w:lang w:val="en-US"/>
        </w:rPr>
        <w:t xml:space="preserve">samples </w:t>
      </w:r>
      <w:r w:rsidR="00C82C18">
        <w:rPr>
          <w:lang w:val="en-US"/>
        </w:rPr>
        <w:t xml:space="preserve">for diagnostic evaluation and inclusion in a future </w:t>
      </w:r>
      <w:r>
        <w:rPr>
          <w:lang w:val="en-US"/>
        </w:rPr>
        <w:t xml:space="preserve">“virtual biobank” </w:t>
      </w:r>
      <w:r w:rsidR="00C82C18">
        <w:rPr>
          <w:lang w:val="en-US"/>
        </w:rPr>
        <w:t>to support ZIKV and arbovirus research</w:t>
      </w:r>
      <w:r w:rsidR="003C3D96" w:rsidRPr="00663AB0">
        <w:rPr>
          <w:lang w:val="en-US"/>
        </w:rPr>
        <w:t xml:space="preserve"> </w:t>
      </w:r>
    </w:p>
    <w:p w14:paraId="7F5744E4" w14:textId="4268DF06" w:rsidR="00C77AD6" w:rsidRPr="00663AB0" w:rsidRDefault="00C77AD6" w:rsidP="00663AB0">
      <w:pPr>
        <w:rPr>
          <w:lang w:val="en-US"/>
        </w:rPr>
      </w:pPr>
      <w:r w:rsidRPr="00663AB0">
        <w:rPr>
          <w:lang w:val="en-US"/>
        </w:rPr>
        <w:t>We are especially interested in samples from sub-Saharan Africa, South America, and Southeast Asia. We are also interested in samples with known arbovirus exposure (e.g. dengue virus, yellow fever virus, Japanese encephalitis virus)</w:t>
      </w:r>
      <w:r w:rsidR="00F51976">
        <w:rPr>
          <w:lang w:val="en-US"/>
        </w:rPr>
        <w:t xml:space="preserve"> and/or prior vaccination to yellow fever vaccine</w:t>
      </w:r>
      <w:r w:rsidRPr="00663AB0">
        <w:rPr>
          <w:lang w:val="en-US"/>
        </w:rPr>
        <w:t xml:space="preserve">. </w:t>
      </w:r>
      <w:r w:rsidR="00A31F49">
        <w:rPr>
          <w:lang w:val="en-US"/>
        </w:rPr>
        <w:t>Please see Appendix 1</w:t>
      </w:r>
      <w:r w:rsidR="003C3D96" w:rsidRPr="00663AB0">
        <w:rPr>
          <w:lang w:val="en-US"/>
        </w:rPr>
        <w:t xml:space="preserve"> for more information about</w:t>
      </w:r>
      <w:r w:rsidR="0054294F">
        <w:rPr>
          <w:lang w:val="en-US"/>
        </w:rPr>
        <w:t xml:space="preserve"> particular</w:t>
      </w:r>
      <w:r w:rsidR="00FD249E">
        <w:rPr>
          <w:lang w:val="en-US"/>
        </w:rPr>
        <w:t xml:space="preserve"> samples of interest and Appendix 2 for the proposed reference panels. </w:t>
      </w:r>
    </w:p>
    <w:p w14:paraId="7572BFFA" w14:textId="77777777" w:rsidR="00821394" w:rsidRDefault="00821394" w:rsidP="00AA748F">
      <w:pPr>
        <w:spacing w:after="0" w:line="240" w:lineRule="auto"/>
        <w:rPr>
          <w:b/>
          <w:color w:val="43ABB6" w:themeColor="accent2"/>
          <w:sz w:val="24"/>
          <w:szCs w:val="24"/>
          <w:lang w:val="en-US"/>
        </w:rPr>
      </w:pPr>
    </w:p>
    <w:p w14:paraId="2E1469E8" w14:textId="10D7A927" w:rsidR="00F0532C" w:rsidRPr="00071250" w:rsidRDefault="00663AB0" w:rsidP="00AA748F">
      <w:pPr>
        <w:spacing w:after="0" w:line="240" w:lineRule="auto"/>
        <w:rPr>
          <w:b/>
          <w:color w:val="43ABB6" w:themeColor="accent2"/>
          <w:sz w:val="24"/>
          <w:szCs w:val="24"/>
          <w:lang w:val="en-US"/>
        </w:rPr>
      </w:pPr>
      <w:r>
        <w:rPr>
          <w:b/>
          <w:color w:val="43ABB6" w:themeColor="accent2"/>
          <w:sz w:val="24"/>
          <w:szCs w:val="24"/>
          <w:lang w:val="en-US"/>
        </w:rPr>
        <w:lastRenderedPageBreak/>
        <w:t>RESPONSIBILITIES</w:t>
      </w:r>
    </w:p>
    <w:p w14:paraId="7DBA01AF" w14:textId="3B91B45D" w:rsidR="002004D1" w:rsidRDefault="00AA748F" w:rsidP="003C3D96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FIND will </w:t>
      </w:r>
      <w:r w:rsidR="003C3D96">
        <w:rPr>
          <w:lang w:val="en-US"/>
        </w:rPr>
        <w:t>establish material transfer agreements (MTAs) between the partner and VRI</w:t>
      </w:r>
    </w:p>
    <w:p w14:paraId="7F38F84D" w14:textId="32D1A60B" w:rsidR="003C3D96" w:rsidRDefault="003C3D96" w:rsidP="003C3D96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FIND and VRI will support sample shipment to VRI </w:t>
      </w:r>
    </w:p>
    <w:p w14:paraId="290E6898" w14:textId="03F51681" w:rsidR="00663AB0" w:rsidRPr="003C3D96" w:rsidRDefault="006B0170" w:rsidP="003C3D96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FIND</w:t>
      </w:r>
      <w:r w:rsidR="00C82C18">
        <w:rPr>
          <w:lang w:val="en-US"/>
        </w:rPr>
        <w:t>, VRI</w:t>
      </w:r>
      <w:r>
        <w:rPr>
          <w:lang w:val="en-US"/>
        </w:rPr>
        <w:t xml:space="preserve"> and partners will jointly </w:t>
      </w:r>
      <w:r w:rsidR="00C82C18">
        <w:rPr>
          <w:lang w:val="en-US"/>
        </w:rPr>
        <w:t>review</w:t>
      </w:r>
      <w:r w:rsidR="00663AB0">
        <w:rPr>
          <w:lang w:val="en-US"/>
        </w:rPr>
        <w:t xml:space="preserve"> the composition of the evaluation panels</w:t>
      </w:r>
    </w:p>
    <w:p w14:paraId="5E1AA2E6" w14:textId="1D2FE7B1" w:rsidR="003C3D96" w:rsidRDefault="003C3D96" w:rsidP="003C3D96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FIND will work with partners to develop a framework for sample sharing to allow for expanded access and future research</w:t>
      </w:r>
      <w:r w:rsidR="006B0170">
        <w:rPr>
          <w:lang w:val="en-US"/>
        </w:rPr>
        <w:t xml:space="preserve"> </w:t>
      </w:r>
    </w:p>
    <w:p w14:paraId="6C6CFE3F" w14:textId="7C092A4F" w:rsidR="00C82C18" w:rsidRDefault="00C82C18" w:rsidP="003C3D96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FIND and VRI will provide access to samples panels to partners for diagnostic development, evaluation, and other research uses </w:t>
      </w:r>
    </w:p>
    <w:p w14:paraId="5E862AB0" w14:textId="77777777" w:rsidR="00C82C18" w:rsidRDefault="00C82C18" w:rsidP="00C82C18">
      <w:pPr>
        <w:spacing w:after="0" w:line="240" w:lineRule="auto"/>
        <w:rPr>
          <w:lang w:val="en-US"/>
        </w:rPr>
      </w:pPr>
    </w:p>
    <w:p w14:paraId="5E625350" w14:textId="405079D6" w:rsidR="00C82C18" w:rsidRPr="00071250" w:rsidRDefault="00F80F4D" w:rsidP="00C82C18">
      <w:pPr>
        <w:spacing w:after="0" w:line="240" w:lineRule="auto"/>
        <w:rPr>
          <w:b/>
          <w:color w:val="43ABB6" w:themeColor="accent2"/>
          <w:sz w:val="24"/>
          <w:szCs w:val="24"/>
          <w:lang w:val="en-US"/>
        </w:rPr>
      </w:pPr>
      <w:r>
        <w:rPr>
          <w:b/>
          <w:color w:val="43ABB6" w:themeColor="accent2"/>
          <w:sz w:val="24"/>
          <w:szCs w:val="24"/>
          <w:lang w:val="en-US"/>
        </w:rPr>
        <w:t>BENEFITS</w:t>
      </w:r>
    </w:p>
    <w:p w14:paraId="2582A909" w14:textId="29906F03" w:rsidR="00A8164F" w:rsidRDefault="00C82C18" w:rsidP="00AA748F">
      <w:pPr>
        <w:spacing w:after="0" w:line="240" w:lineRule="auto"/>
        <w:rPr>
          <w:lang w:val="en-US"/>
        </w:rPr>
      </w:pPr>
      <w:r>
        <w:rPr>
          <w:lang w:val="en-US"/>
        </w:rPr>
        <w:t xml:space="preserve">Benefits for participating in this FIND initiative include: </w:t>
      </w:r>
    </w:p>
    <w:p w14:paraId="1D7A68ED" w14:textId="2B5B50A9" w:rsidR="00C82C18" w:rsidRDefault="00C82C18" w:rsidP="00C82C1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Early access to samples panels developed through this project </w:t>
      </w:r>
    </w:p>
    <w:p w14:paraId="7738DFB9" w14:textId="205E3DCA" w:rsidR="00C82C18" w:rsidRDefault="00F80F4D" w:rsidP="00C82C1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Ability to shape sample sharing frameworks of an overarching virtual biobank </w:t>
      </w:r>
    </w:p>
    <w:p w14:paraId="5967D49E" w14:textId="770F4B4F" w:rsidR="00F80F4D" w:rsidRDefault="00F80F4D" w:rsidP="00C82C1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Early access to results from the analytical and clinical validation of ZIKV diagnostics </w:t>
      </w:r>
    </w:p>
    <w:p w14:paraId="314432D1" w14:textId="20C90CC3" w:rsidR="00F80F4D" w:rsidRPr="00C82C18" w:rsidRDefault="00F80F4D" w:rsidP="00C82C1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Authorship from manuscripts presenting results from the analytical and clinical validation studies, as well manuscripts describing the development of a virtual biobank and sample sharing framework </w:t>
      </w:r>
    </w:p>
    <w:p w14:paraId="442956F8" w14:textId="77777777" w:rsidR="00C82C18" w:rsidRDefault="00C82C18" w:rsidP="00AA748F">
      <w:pPr>
        <w:spacing w:after="0" w:line="240" w:lineRule="auto"/>
        <w:rPr>
          <w:b/>
          <w:color w:val="43ABB6" w:themeColor="accent2"/>
          <w:sz w:val="24"/>
          <w:szCs w:val="24"/>
          <w:lang w:val="en-US"/>
        </w:rPr>
      </w:pPr>
    </w:p>
    <w:p w14:paraId="357F4B9C" w14:textId="77777777" w:rsidR="00F0532C" w:rsidRPr="00071250" w:rsidRDefault="00071250" w:rsidP="00AA748F">
      <w:pPr>
        <w:spacing w:after="0" w:line="240" w:lineRule="auto"/>
        <w:rPr>
          <w:b/>
          <w:color w:val="43ABB6" w:themeColor="accent2"/>
          <w:sz w:val="24"/>
          <w:szCs w:val="24"/>
          <w:lang w:val="en-US"/>
        </w:rPr>
      </w:pPr>
      <w:r w:rsidRPr="00071250">
        <w:rPr>
          <w:b/>
          <w:color w:val="43ABB6" w:themeColor="accent2"/>
          <w:sz w:val="24"/>
          <w:szCs w:val="24"/>
          <w:lang w:val="en-US"/>
        </w:rPr>
        <w:t>TIMELINES</w:t>
      </w:r>
    </w:p>
    <w:p w14:paraId="55AC5C5C" w14:textId="77777777" w:rsidR="00F80F4D" w:rsidRDefault="003C3D96" w:rsidP="003C3D96">
      <w:pPr>
        <w:spacing w:after="0" w:line="240" w:lineRule="auto"/>
        <w:rPr>
          <w:lang w:val="en-US"/>
        </w:rPr>
      </w:pPr>
      <w:r w:rsidRPr="003C3D96">
        <w:rPr>
          <w:lang w:val="en-US"/>
        </w:rPr>
        <w:t>The currently funded phase of this project will run until Mar</w:t>
      </w:r>
      <w:r w:rsidR="00F80F4D">
        <w:rPr>
          <w:lang w:val="en-US"/>
        </w:rPr>
        <w:t xml:space="preserve">ch 2020. Priority activities include: </w:t>
      </w:r>
    </w:p>
    <w:p w14:paraId="0E26AE8F" w14:textId="01889790" w:rsidR="00F80F4D" w:rsidRDefault="00F80F4D" w:rsidP="00F80F4D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Responses to the call by </w:t>
      </w:r>
      <w:r w:rsidR="00B971A2">
        <w:rPr>
          <w:lang w:val="en-US"/>
        </w:rPr>
        <w:t>9</w:t>
      </w:r>
      <w:r w:rsidR="00B971A2" w:rsidRPr="00B971A2">
        <w:rPr>
          <w:vertAlign w:val="superscript"/>
          <w:lang w:val="en-US"/>
        </w:rPr>
        <w:t>th</w:t>
      </w:r>
      <w:r w:rsidR="00B971A2">
        <w:rPr>
          <w:lang w:val="en-US"/>
        </w:rPr>
        <w:t xml:space="preserve"> </w:t>
      </w:r>
      <w:r w:rsidR="00A92624">
        <w:rPr>
          <w:lang w:val="en-US"/>
        </w:rPr>
        <w:t>Aug</w:t>
      </w:r>
      <w:r>
        <w:rPr>
          <w:lang w:val="en-US"/>
        </w:rPr>
        <w:t xml:space="preserve"> 2019</w:t>
      </w:r>
    </w:p>
    <w:p w14:paraId="329D1E13" w14:textId="10B71930" w:rsidR="00F80F4D" w:rsidRDefault="00C82C18" w:rsidP="00F80F4D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F80F4D">
        <w:rPr>
          <w:lang w:val="en-US"/>
        </w:rPr>
        <w:t xml:space="preserve">MTAs signed with partners by </w:t>
      </w:r>
      <w:r w:rsidR="00A92624">
        <w:rPr>
          <w:lang w:val="en-US"/>
        </w:rPr>
        <w:t>15</w:t>
      </w:r>
      <w:r w:rsidRPr="00F80F4D">
        <w:rPr>
          <w:vertAlign w:val="superscript"/>
          <w:lang w:val="en-US"/>
        </w:rPr>
        <w:t>th</w:t>
      </w:r>
      <w:r w:rsidR="00A92624">
        <w:rPr>
          <w:lang w:val="en-US"/>
        </w:rPr>
        <w:t xml:space="preserve"> Sep</w:t>
      </w:r>
      <w:r w:rsidRPr="00F80F4D">
        <w:rPr>
          <w:lang w:val="en-US"/>
        </w:rPr>
        <w:t xml:space="preserve"> 2019 </w:t>
      </w:r>
    </w:p>
    <w:p w14:paraId="562673D4" w14:textId="12ED400E" w:rsidR="00F80F4D" w:rsidRDefault="00F80F4D" w:rsidP="00F80F4D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I</w:t>
      </w:r>
      <w:r w:rsidR="00C82C18" w:rsidRPr="00F80F4D">
        <w:rPr>
          <w:lang w:val="en-US"/>
        </w:rPr>
        <w:t>nitial panels available by 1</w:t>
      </w:r>
      <w:r w:rsidR="00C82C18" w:rsidRPr="00F80F4D">
        <w:rPr>
          <w:vertAlign w:val="superscript"/>
          <w:lang w:val="en-US"/>
        </w:rPr>
        <w:t>st</w:t>
      </w:r>
      <w:r w:rsidR="00C82C18" w:rsidRPr="00F80F4D">
        <w:rPr>
          <w:lang w:val="en-US"/>
        </w:rPr>
        <w:t xml:space="preserve"> November 2019 </w:t>
      </w:r>
    </w:p>
    <w:p w14:paraId="51D83A94" w14:textId="24AB62AC" w:rsidR="006B0170" w:rsidRPr="00F80F4D" w:rsidRDefault="00F80F4D" w:rsidP="00F80F4D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I</w:t>
      </w:r>
      <w:r w:rsidR="00C82C18" w:rsidRPr="00F80F4D">
        <w:rPr>
          <w:lang w:val="en-US"/>
        </w:rPr>
        <w:t>nitial draft of the sample sharing framework available for feedback by 1</w:t>
      </w:r>
      <w:r w:rsidR="00C82C18" w:rsidRPr="00F80F4D">
        <w:rPr>
          <w:vertAlign w:val="superscript"/>
          <w:lang w:val="en-US"/>
        </w:rPr>
        <w:t>st</w:t>
      </w:r>
      <w:r w:rsidR="00C82C18" w:rsidRPr="00F80F4D">
        <w:rPr>
          <w:lang w:val="en-US"/>
        </w:rPr>
        <w:t xml:space="preserve"> </w:t>
      </w:r>
      <w:r>
        <w:rPr>
          <w:lang w:val="en-US"/>
        </w:rPr>
        <w:t>February 2020</w:t>
      </w:r>
      <w:r w:rsidR="00C82C18" w:rsidRPr="00F80F4D">
        <w:rPr>
          <w:lang w:val="en-US"/>
        </w:rPr>
        <w:t xml:space="preserve"> </w:t>
      </w:r>
      <w:r w:rsidR="006B0170" w:rsidRPr="00F80F4D">
        <w:rPr>
          <w:lang w:val="en-US"/>
        </w:rPr>
        <w:t xml:space="preserve"> </w:t>
      </w:r>
    </w:p>
    <w:p w14:paraId="318180FE" w14:textId="77777777" w:rsidR="00071250" w:rsidRDefault="00071250" w:rsidP="005F3B53">
      <w:pPr>
        <w:spacing w:after="0" w:line="240" w:lineRule="auto"/>
        <w:rPr>
          <w:b/>
          <w:u w:val="single"/>
          <w:lang w:val="en-US"/>
        </w:rPr>
      </w:pPr>
    </w:p>
    <w:p w14:paraId="503E7128" w14:textId="1503E8AD" w:rsidR="005F3B53" w:rsidRPr="00071250" w:rsidRDefault="00071250" w:rsidP="005F3B53">
      <w:pPr>
        <w:spacing w:after="0" w:line="240" w:lineRule="auto"/>
        <w:rPr>
          <w:color w:val="43ABB6" w:themeColor="accent2"/>
          <w:sz w:val="24"/>
          <w:szCs w:val="24"/>
          <w:lang w:val="en-US"/>
        </w:rPr>
      </w:pPr>
      <w:r w:rsidRPr="00071250">
        <w:rPr>
          <w:b/>
          <w:color w:val="43ABB6" w:themeColor="accent2"/>
          <w:sz w:val="24"/>
          <w:szCs w:val="24"/>
          <w:lang w:val="en-US"/>
        </w:rPr>
        <w:t xml:space="preserve">SEND SUBMISSIONS BEFORE </w:t>
      </w:r>
      <w:r w:rsidR="00A92624">
        <w:rPr>
          <w:b/>
          <w:color w:val="43ABB6" w:themeColor="accent2"/>
          <w:sz w:val="24"/>
          <w:szCs w:val="24"/>
          <w:lang w:val="en-US"/>
        </w:rPr>
        <w:t>9</w:t>
      </w:r>
      <w:r w:rsidR="007E24C8">
        <w:rPr>
          <w:b/>
          <w:color w:val="43ABB6" w:themeColor="accent2"/>
          <w:sz w:val="24"/>
          <w:szCs w:val="24"/>
          <w:vertAlign w:val="superscript"/>
          <w:lang w:val="en-US"/>
        </w:rPr>
        <w:t>th</w:t>
      </w:r>
      <w:r w:rsidR="004A75FA" w:rsidRPr="004A75FA">
        <w:rPr>
          <w:b/>
          <w:color w:val="43ABB6" w:themeColor="accent2"/>
          <w:sz w:val="24"/>
          <w:szCs w:val="24"/>
          <w:lang w:val="en-US"/>
        </w:rPr>
        <w:t xml:space="preserve"> </w:t>
      </w:r>
      <w:r w:rsidR="00A92624">
        <w:rPr>
          <w:b/>
          <w:color w:val="43ABB6" w:themeColor="accent2"/>
          <w:sz w:val="24"/>
          <w:szCs w:val="24"/>
          <w:lang w:val="en-US"/>
        </w:rPr>
        <w:t>Aug</w:t>
      </w:r>
      <w:r w:rsidR="00CB466B" w:rsidRPr="004A75FA">
        <w:rPr>
          <w:b/>
          <w:color w:val="43ABB6" w:themeColor="accent2"/>
          <w:sz w:val="24"/>
          <w:szCs w:val="24"/>
          <w:lang w:val="en-US"/>
        </w:rPr>
        <w:t xml:space="preserve"> </w:t>
      </w:r>
      <w:r w:rsidR="004A75FA" w:rsidRPr="004A75FA">
        <w:rPr>
          <w:b/>
          <w:color w:val="43ABB6" w:themeColor="accent2"/>
          <w:sz w:val="24"/>
          <w:szCs w:val="24"/>
          <w:lang w:val="en-US"/>
        </w:rPr>
        <w:t xml:space="preserve">2019 </w:t>
      </w:r>
      <w:r w:rsidRPr="004A75FA">
        <w:rPr>
          <w:b/>
          <w:color w:val="43ABB6" w:themeColor="accent2"/>
          <w:sz w:val="24"/>
          <w:szCs w:val="24"/>
          <w:lang w:val="en-US"/>
        </w:rPr>
        <w:t>TO:</w:t>
      </w:r>
      <w:r w:rsidRPr="00071250">
        <w:rPr>
          <w:color w:val="43ABB6" w:themeColor="accent2"/>
          <w:sz w:val="24"/>
          <w:szCs w:val="24"/>
          <w:lang w:val="en-US"/>
        </w:rPr>
        <w:t xml:space="preserve"> </w:t>
      </w:r>
    </w:p>
    <w:p w14:paraId="0687E00E" w14:textId="77777777" w:rsidR="005F3B53" w:rsidRDefault="005F3B53" w:rsidP="005F3B53">
      <w:pPr>
        <w:spacing w:after="0" w:line="240" w:lineRule="auto"/>
        <w:rPr>
          <w:lang w:val="en-US"/>
        </w:rPr>
      </w:pPr>
      <w:r>
        <w:rPr>
          <w:lang w:val="en-US"/>
        </w:rPr>
        <w:t>Devy Emperador</w:t>
      </w:r>
      <w:r w:rsidR="00E117D7">
        <w:rPr>
          <w:lang w:val="en-US"/>
        </w:rPr>
        <w:t xml:space="preserve"> </w:t>
      </w:r>
      <w:hyperlink r:id="rId8" w:history="1">
        <w:r w:rsidRPr="00CF2B5F">
          <w:rPr>
            <w:rStyle w:val="Hyperlink"/>
            <w:lang w:val="en-US"/>
          </w:rPr>
          <w:t>devy.emperador@finddx.org</w:t>
        </w:r>
      </w:hyperlink>
      <w:r>
        <w:rPr>
          <w:lang w:val="en-US"/>
        </w:rPr>
        <w:t xml:space="preserve"> </w:t>
      </w:r>
    </w:p>
    <w:p w14:paraId="25AB285E" w14:textId="77777777" w:rsidR="005F3B53" w:rsidRDefault="005F3B53" w:rsidP="005F3B53">
      <w:pPr>
        <w:spacing w:after="0" w:line="240" w:lineRule="auto"/>
        <w:rPr>
          <w:lang w:val="en-US"/>
        </w:rPr>
      </w:pPr>
    </w:p>
    <w:p w14:paraId="3238693A" w14:textId="77777777" w:rsidR="005F3B53" w:rsidRPr="00071250" w:rsidRDefault="00071250" w:rsidP="005F3B53">
      <w:pPr>
        <w:spacing w:after="0" w:line="240" w:lineRule="auto"/>
        <w:rPr>
          <w:b/>
          <w:color w:val="43ABB6" w:themeColor="accent2"/>
          <w:sz w:val="24"/>
          <w:szCs w:val="24"/>
          <w:lang w:val="en-US"/>
        </w:rPr>
      </w:pPr>
      <w:r w:rsidRPr="00071250">
        <w:rPr>
          <w:b/>
          <w:color w:val="43ABB6" w:themeColor="accent2"/>
          <w:sz w:val="24"/>
          <w:szCs w:val="24"/>
          <w:lang w:val="en-US"/>
        </w:rPr>
        <w:t xml:space="preserve">FOR QUESTIONS, CONTACT: </w:t>
      </w:r>
    </w:p>
    <w:p w14:paraId="3929B00F" w14:textId="77777777" w:rsidR="005F3B53" w:rsidRDefault="00E117D7" w:rsidP="005F3B53">
      <w:pPr>
        <w:spacing w:after="0" w:line="240" w:lineRule="auto"/>
        <w:rPr>
          <w:lang w:val="en-US"/>
        </w:rPr>
      </w:pPr>
      <w:r>
        <w:rPr>
          <w:lang w:val="en-US"/>
        </w:rPr>
        <w:t xml:space="preserve">Devy Emperador </w:t>
      </w:r>
      <w:hyperlink r:id="rId9" w:history="1">
        <w:r w:rsidR="005F3B53" w:rsidRPr="00CF2B5F">
          <w:rPr>
            <w:rStyle w:val="Hyperlink"/>
            <w:lang w:val="en-US"/>
          </w:rPr>
          <w:t>devy.emperador@finddx.org</w:t>
        </w:r>
      </w:hyperlink>
    </w:p>
    <w:p w14:paraId="3C80FBA9" w14:textId="1F451D5B" w:rsidR="00663AB0" w:rsidRDefault="005F3B53" w:rsidP="005F3B53">
      <w:pPr>
        <w:spacing w:after="0" w:line="240" w:lineRule="auto"/>
        <w:rPr>
          <w:lang w:val="en-US"/>
        </w:rPr>
      </w:pPr>
      <w:r>
        <w:rPr>
          <w:lang w:val="en-US"/>
        </w:rPr>
        <w:t>Cassandra Kelly-Cirin</w:t>
      </w:r>
      <w:r w:rsidR="00071250">
        <w:rPr>
          <w:lang w:val="en-US"/>
        </w:rPr>
        <w:t>o</w:t>
      </w:r>
      <w:r w:rsidR="00E117D7">
        <w:rPr>
          <w:lang w:val="en-US"/>
        </w:rPr>
        <w:t xml:space="preserve"> </w:t>
      </w:r>
      <w:hyperlink r:id="rId10" w:history="1">
        <w:r w:rsidR="00071250" w:rsidRPr="00CF2B5F">
          <w:rPr>
            <w:rStyle w:val="Hyperlink"/>
            <w:lang w:val="en-US"/>
          </w:rPr>
          <w:t>cassandra.kelly@finddx.org</w:t>
        </w:r>
      </w:hyperlink>
      <w:r>
        <w:rPr>
          <w:lang w:val="en-US"/>
        </w:rPr>
        <w:t xml:space="preserve"> </w:t>
      </w:r>
    </w:p>
    <w:p w14:paraId="13E6D3A6" w14:textId="77777777" w:rsidR="00663AB0" w:rsidRDefault="00663AB0" w:rsidP="005F3B53">
      <w:pPr>
        <w:spacing w:after="0" w:line="240" w:lineRule="auto"/>
        <w:rPr>
          <w:lang w:val="en-US"/>
        </w:rPr>
        <w:sectPr w:rsidR="00663AB0">
          <w:headerReference w:type="default" r:id="rId11"/>
          <w:footerReference w:type="default" r:id="rId12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79046505" w14:textId="77777777" w:rsidR="00821394" w:rsidRDefault="00821394" w:rsidP="00663AB0">
      <w:pPr>
        <w:spacing w:after="0" w:line="240" w:lineRule="auto"/>
        <w:rPr>
          <w:b/>
          <w:color w:val="5A2259" w:themeColor="accent1"/>
          <w:sz w:val="32"/>
          <w:szCs w:val="32"/>
          <w:lang w:val="en-US"/>
        </w:rPr>
      </w:pPr>
      <w:r>
        <w:rPr>
          <w:b/>
          <w:color w:val="5A2259" w:themeColor="accent1"/>
          <w:sz w:val="32"/>
          <w:szCs w:val="32"/>
          <w:lang w:val="en-US"/>
        </w:rPr>
        <w:lastRenderedPageBreak/>
        <w:t xml:space="preserve">RESPONSE TEMPLATE </w:t>
      </w:r>
    </w:p>
    <w:p w14:paraId="750F538E" w14:textId="0620C91E" w:rsidR="009D430C" w:rsidRDefault="00821394" w:rsidP="009D430C">
      <w:pPr>
        <w:spacing w:after="0" w:line="240" w:lineRule="auto"/>
        <w:rPr>
          <w:b/>
          <w:color w:val="5A2259" w:themeColor="accent1"/>
          <w:sz w:val="24"/>
          <w:szCs w:val="32"/>
          <w:lang w:val="en-US"/>
        </w:rPr>
      </w:pPr>
      <w:r w:rsidRPr="00821394">
        <w:rPr>
          <w:b/>
          <w:color w:val="5A2259" w:themeColor="accent1"/>
          <w:sz w:val="24"/>
          <w:szCs w:val="32"/>
          <w:lang w:val="en-US"/>
        </w:rPr>
        <w:t xml:space="preserve">Call for partners: Sample sharing for FIND-WHO Initiative to conduct standardized evaluation of </w:t>
      </w:r>
      <w:proofErr w:type="spellStart"/>
      <w:r w:rsidRPr="00821394">
        <w:rPr>
          <w:b/>
          <w:color w:val="5A2259" w:themeColor="accent1"/>
          <w:sz w:val="24"/>
          <w:szCs w:val="32"/>
          <w:lang w:val="en-US"/>
        </w:rPr>
        <w:t>Zika</w:t>
      </w:r>
      <w:proofErr w:type="spellEnd"/>
      <w:r w:rsidRPr="00821394">
        <w:rPr>
          <w:b/>
          <w:color w:val="5A2259" w:themeColor="accent1"/>
          <w:sz w:val="24"/>
          <w:szCs w:val="32"/>
          <w:lang w:val="en-US"/>
        </w:rPr>
        <w:t xml:space="preserve"> Diagnostics  </w:t>
      </w:r>
    </w:p>
    <w:p w14:paraId="32D03F18" w14:textId="77777777" w:rsidR="00821394" w:rsidRPr="009D430C" w:rsidRDefault="00821394" w:rsidP="009D430C">
      <w:pPr>
        <w:spacing w:after="0" w:line="240" w:lineRule="auto"/>
        <w:rPr>
          <w:b/>
          <w:color w:val="5A2259" w:themeColor="accent1"/>
          <w:sz w:val="28"/>
          <w:szCs w:val="28"/>
          <w:lang w:val="en-US"/>
        </w:rPr>
      </w:pPr>
    </w:p>
    <w:p w14:paraId="680559A8" w14:textId="2C18D037" w:rsidR="008B232D" w:rsidRDefault="009D430C" w:rsidP="009D430C">
      <w:pPr>
        <w:spacing w:after="0" w:line="240" w:lineRule="auto"/>
        <w:rPr>
          <w:lang w:val="en-US"/>
        </w:rPr>
      </w:pPr>
      <w:r>
        <w:rPr>
          <w:lang w:val="en-US"/>
        </w:rPr>
        <w:t xml:space="preserve">NOTE: </w:t>
      </w:r>
      <w:r w:rsidR="00E42A96">
        <w:rPr>
          <w:lang w:val="en-US"/>
        </w:rPr>
        <w:t>Up to three (5</w:t>
      </w:r>
      <w:r>
        <w:rPr>
          <w:lang w:val="en-US"/>
        </w:rPr>
        <w:t>) pages max</w:t>
      </w:r>
    </w:p>
    <w:p w14:paraId="1FE0CB91" w14:textId="77777777" w:rsidR="004E6D0A" w:rsidRDefault="004E6D0A" w:rsidP="009D430C">
      <w:pPr>
        <w:spacing w:after="0" w:line="240" w:lineRule="auto"/>
        <w:rPr>
          <w:lang w:val="en-US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876"/>
        <w:gridCol w:w="12429"/>
      </w:tblGrid>
      <w:tr w:rsidR="004E6D0A" w:rsidRPr="008E3FB1" w14:paraId="5F2C7890" w14:textId="77777777" w:rsidTr="00E42A96">
        <w:trPr>
          <w:trHeight w:val="530"/>
        </w:trPr>
        <w:tc>
          <w:tcPr>
            <w:tcW w:w="1876" w:type="dxa"/>
          </w:tcPr>
          <w:p w14:paraId="09E74D90" w14:textId="77AADCA4" w:rsidR="004E6D0A" w:rsidRPr="008E3FB1" w:rsidRDefault="004E6D0A" w:rsidP="001E63F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 of </w:t>
            </w:r>
            <w:r w:rsidR="001E63F5">
              <w:rPr>
                <w:rFonts w:cstheme="minorHAnsi"/>
                <w:b/>
              </w:rPr>
              <w:t>responder(s)</w:t>
            </w:r>
          </w:p>
        </w:tc>
        <w:tc>
          <w:tcPr>
            <w:tcW w:w="12429" w:type="dxa"/>
          </w:tcPr>
          <w:p w14:paraId="0910A8E8" w14:textId="19A27E8E" w:rsidR="004E6D0A" w:rsidRPr="00482B1B" w:rsidRDefault="001E63F5" w:rsidP="001E63F5">
            <w:pPr>
              <w:rPr>
                <w:i/>
                <w:color w:val="627786" w:themeColor="accent3" w:themeShade="BF"/>
                <w:lang w:val="en-GB"/>
              </w:rPr>
            </w:pPr>
            <w:r>
              <w:rPr>
                <w:rFonts w:eastAsiaTheme="minorHAnsi"/>
                <w:i/>
                <w:color w:val="627786" w:themeColor="accent3" w:themeShade="BF"/>
                <w:szCs w:val="24"/>
                <w:lang w:val="en-GB" w:eastAsia="en-US"/>
              </w:rPr>
              <w:t>List here the name of the main responders</w:t>
            </w:r>
            <w:r w:rsidR="004E6D0A" w:rsidRPr="00482B1B">
              <w:rPr>
                <w:rFonts w:eastAsiaTheme="minorHAnsi"/>
                <w:i/>
                <w:color w:val="627786" w:themeColor="accent3" w:themeShade="BF"/>
                <w:szCs w:val="24"/>
                <w:lang w:val="en-GB" w:eastAsia="en-US"/>
              </w:rPr>
              <w:t>. Specify affiliations, roles and th</w:t>
            </w:r>
            <w:r w:rsidR="00ED67D8">
              <w:rPr>
                <w:rFonts w:eastAsiaTheme="minorHAnsi"/>
                <w:i/>
                <w:color w:val="627786" w:themeColor="accent3" w:themeShade="BF"/>
                <w:szCs w:val="24"/>
                <w:lang w:val="en-GB" w:eastAsia="en-US"/>
              </w:rPr>
              <w:t xml:space="preserve">e names of the institutes. </w:t>
            </w:r>
          </w:p>
        </w:tc>
      </w:tr>
      <w:tr w:rsidR="00E42A96" w:rsidRPr="008E3FB1" w14:paraId="55AC1385" w14:textId="77777777" w:rsidTr="00E42A96">
        <w:tc>
          <w:tcPr>
            <w:tcW w:w="1876" w:type="dxa"/>
          </w:tcPr>
          <w:p w14:paraId="515C9BF9" w14:textId="4575B24D" w:rsidR="00E42A96" w:rsidRDefault="00E42A96" w:rsidP="001E63F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details</w:t>
            </w:r>
          </w:p>
        </w:tc>
        <w:tc>
          <w:tcPr>
            <w:tcW w:w="12429" w:type="dxa"/>
          </w:tcPr>
          <w:p w14:paraId="68D8867B" w14:textId="4EF0B684" w:rsidR="00E42A96" w:rsidRDefault="00E42A96" w:rsidP="001E63F5">
            <w:pPr>
              <w:rPr>
                <w:i/>
                <w:color w:val="627786" w:themeColor="accent3" w:themeShade="BF"/>
                <w:szCs w:val="24"/>
              </w:rPr>
            </w:pPr>
            <w:r w:rsidRPr="007031BB">
              <w:rPr>
                <w:i/>
                <w:color w:val="627786" w:themeColor="accent3" w:themeShade="BF"/>
              </w:rPr>
              <w:t>Provide contact details of corresponding investigators for further communication with FIND.</w:t>
            </w:r>
          </w:p>
        </w:tc>
      </w:tr>
      <w:tr w:rsidR="00E42A96" w:rsidRPr="008E3FB1" w14:paraId="2DE7772F" w14:textId="77777777" w:rsidTr="00E42A96">
        <w:trPr>
          <w:trHeight w:val="5570"/>
        </w:trPr>
        <w:tc>
          <w:tcPr>
            <w:tcW w:w="14305" w:type="dxa"/>
            <w:gridSpan w:val="2"/>
          </w:tcPr>
          <w:p w14:paraId="722DBA79" w14:textId="709687FD" w:rsidR="00E42A96" w:rsidRDefault="00E42A96" w:rsidP="001E63F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ZIKV sample availability</w:t>
            </w:r>
            <w:r>
              <w:rPr>
                <w:i/>
                <w:color w:val="627786" w:themeColor="accent3" w:themeShade="BF"/>
                <w:szCs w:val="24"/>
              </w:rPr>
              <w:t xml:space="preserve"> Describe the availability of ZIKV samples that your laboratory/team have access to. </w:t>
            </w:r>
            <w:r w:rsidRPr="00ED67D8">
              <w:rPr>
                <w:i/>
                <w:color w:val="627786" w:themeColor="accent3" w:themeShade="BF"/>
                <w:szCs w:val="24"/>
              </w:rPr>
              <w:t>Include type and number of samples currently stored</w:t>
            </w:r>
            <w:r>
              <w:rPr>
                <w:i/>
                <w:color w:val="627786" w:themeColor="accent3" w:themeShade="BF"/>
                <w:szCs w:val="24"/>
              </w:rPr>
              <w:t xml:space="preserve"> and </w:t>
            </w:r>
            <w:r w:rsidRPr="00ED67D8">
              <w:rPr>
                <w:i/>
                <w:color w:val="627786" w:themeColor="accent3" w:themeShade="BF"/>
                <w:szCs w:val="24"/>
              </w:rPr>
              <w:t xml:space="preserve">volumes, if clinical information is available, </w:t>
            </w:r>
            <w:r>
              <w:rPr>
                <w:i/>
                <w:color w:val="627786" w:themeColor="accent3" w:themeShade="BF"/>
                <w:szCs w:val="24"/>
              </w:rPr>
              <w:t>and source of the sample.</w:t>
            </w:r>
            <w:r w:rsidRPr="00ED67D8">
              <w:rPr>
                <w:i/>
                <w:color w:val="627786" w:themeColor="accent3" w:themeShade="BF"/>
                <w:szCs w:val="24"/>
              </w:rPr>
              <w:t xml:space="preserve"> Also </w:t>
            </w:r>
            <w:r>
              <w:rPr>
                <w:i/>
                <w:color w:val="627786" w:themeColor="accent3" w:themeShade="BF"/>
                <w:szCs w:val="24"/>
              </w:rPr>
              <w:t>specify assay(s) used to confirm ZIKV status.</w:t>
            </w:r>
            <w:r w:rsidRPr="00ED67D8">
              <w:rPr>
                <w:i/>
                <w:color w:val="627786" w:themeColor="accent3" w:themeShade="BF"/>
                <w:szCs w:val="24"/>
              </w:rPr>
              <w:t xml:space="preserve">  </w:t>
            </w:r>
            <w:r>
              <w:rPr>
                <w:i/>
                <w:color w:val="627786" w:themeColor="accent3" w:themeShade="BF"/>
                <w:szCs w:val="24"/>
              </w:rPr>
              <w:t xml:space="preserve">Add a new line for multiple collections. </w:t>
            </w:r>
          </w:p>
          <w:tbl>
            <w:tblPr>
              <w:tblW w:w="13917" w:type="dxa"/>
              <w:tblLook w:val="04A0" w:firstRow="1" w:lastRow="0" w:firstColumn="1" w:lastColumn="0" w:noHBand="0" w:noVBand="1"/>
            </w:tblPr>
            <w:tblGrid>
              <w:gridCol w:w="1857"/>
              <w:gridCol w:w="1620"/>
              <w:gridCol w:w="1260"/>
              <w:gridCol w:w="1800"/>
              <w:gridCol w:w="2520"/>
              <w:gridCol w:w="3060"/>
              <w:gridCol w:w="1800"/>
            </w:tblGrid>
            <w:tr w:rsidR="00E42A96" w:rsidRPr="00E11D46" w14:paraId="00E5E605" w14:textId="77777777" w:rsidTr="00CD44C3">
              <w:trPr>
                <w:trHeight w:val="646"/>
              </w:trPr>
              <w:tc>
                <w:tcPr>
                  <w:tcW w:w="185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14:paraId="43358F36" w14:textId="2E7D0E5B" w:rsidR="00E42A96" w:rsidRPr="00CD44C3" w:rsidRDefault="00D52C85" w:rsidP="00E42A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  <w:t>Name of collection, study, or panel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14:paraId="78C3E25B" w14:textId="77777777" w:rsidR="00E42A96" w:rsidRPr="00CD44C3" w:rsidRDefault="00E42A96" w:rsidP="00E42A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CD44C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  <w:t>Sample type(s)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14:paraId="0DCFB1CD" w14:textId="77777777" w:rsidR="00E42A96" w:rsidRPr="00CD44C3" w:rsidRDefault="00E42A96" w:rsidP="00E42A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CD44C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  <w:t>No. (</w:t>
                  </w:r>
                  <w:proofErr w:type="spellStart"/>
                  <w:r w:rsidRPr="00CD44C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  <w:t>vol</w:t>
                  </w:r>
                  <w:proofErr w:type="spellEnd"/>
                  <w:r w:rsidRPr="00CD44C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  <w:t>) of aliquots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14:paraId="73E4B8F2" w14:textId="0D5910FB" w:rsidR="00E42A96" w:rsidRPr="00CD44C3" w:rsidRDefault="00E42A96" w:rsidP="00E42A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CD44C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  <w:t>Location of collection</w:t>
                  </w:r>
                  <w:r w:rsidR="00D52C85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  <w:t xml:space="preserve"> / name of sample provider</w:t>
                  </w:r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14:paraId="289813F3" w14:textId="161FA06F" w:rsidR="00E42A96" w:rsidRPr="00CD44C3" w:rsidRDefault="00E42A96" w:rsidP="00E42A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CD44C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  <w:t>Which of the following clinical variables are available? Select all that apply.</w:t>
                  </w:r>
                </w:p>
              </w:tc>
              <w:tc>
                <w:tcPr>
                  <w:tcW w:w="30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14:paraId="6D422AD0" w14:textId="1B18658E" w:rsidR="00E42A96" w:rsidRPr="00CD44C3" w:rsidRDefault="00E42A96" w:rsidP="00E42A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CD44C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  <w:t>Which of the following sample data is available? Select all that apply.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14:paraId="1E717017" w14:textId="05797E77" w:rsidR="00E42A96" w:rsidRPr="00CD44C3" w:rsidRDefault="00DD197A" w:rsidP="00E42A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CD44C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  <w:t>ZIKV</w:t>
                  </w:r>
                  <w:r w:rsidR="00E42A96" w:rsidRPr="00CD44C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  <w:t xml:space="preserve"> confirmatory test(s) used</w:t>
                  </w:r>
                </w:p>
              </w:tc>
            </w:tr>
            <w:tr w:rsidR="00E42A96" w:rsidRPr="00E11D46" w14:paraId="0B5EB5BE" w14:textId="77777777" w:rsidTr="00CD44C3">
              <w:trPr>
                <w:trHeight w:val="1601"/>
              </w:trPr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6021F" w14:textId="0529022C" w:rsidR="00E42A96" w:rsidRPr="00E11D46" w:rsidRDefault="008C5C2A" w:rsidP="00E42A96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000000"/>
                      <w:sz w:val="16"/>
                      <w:szCs w:val="16"/>
                      <w:lang w:eastAsia="en-GB"/>
                    </w:rPr>
                    <w:t>Collection 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E5F91" w14:textId="77777777" w:rsidR="00E42A96" w:rsidRPr="00E11D46" w:rsidRDefault="00E42A96" w:rsidP="00E42A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__ Whole blood</w:t>
                  </w:r>
                </w:p>
                <w:p w14:paraId="1F945C33" w14:textId="77777777" w:rsidR="00E42A96" w:rsidRPr="00E11D46" w:rsidRDefault="00E42A96" w:rsidP="00E42A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__ Plasma</w:t>
                  </w:r>
                </w:p>
                <w:p w14:paraId="72D9F321" w14:textId="77777777" w:rsidR="00E42A96" w:rsidRPr="00E11D46" w:rsidRDefault="00E42A96" w:rsidP="00E42A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__ Serum</w:t>
                  </w:r>
                </w:p>
                <w:p w14:paraId="7B73B0E9" w14:textId="77777777" w:rsidR="00E42A96" w:rsidRPr="00E11D46" w:rsidRDefault="00E42A96" w:rsidP="00E42A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__ Urine</w:t>
                  </w:r>
                </w:p>
                <w:p w14:paraId="777C0A7E" w14:textId="33A3A6CF" w:rsidR="00E42A96" w:rsidRPr="00E11D46" w:rsidRDefault="00E42A96" w:rsidP="00E42A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__ Other: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B880F" w14:textId="2CC150EB" w:rsidR="00E42A96" w:rsidRPr="00E11D46" w:rsidRDefault="00E42A96" w:rsidP="00E42A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F887C" w14:textId="6D848090" w:rsidR="00E42A96" w:rsidRPr="00D52C85" w:rsidRDefault="00E42A96" w:rsidP="00E42A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DDDE0" w14:textId="77777777" w:rsidR="00E42A96" w:rsidRPr="00E11D46" w:rsidRDefault="00E42A96" w:rsidP="00E42A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__ Age</w:t>
                  </w:r>
                </w:p>
                <w:p w14:paraId="24018647" w14:textId="77777777" w:rsidR="00E42A96" w:rsidRPr="00E11D46" w:rsidRDefault="00E42A96" w:rsidP="00E42A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__ Sex</w:t>
                  </w:r>
                </w:p>
                <w:p w14:paraId="4B425B38" w14:textId="77777777" w:rsidR="00E42A96" w:rsidRPr="00E11D46" w:rsidRDefault="00E42A96" w:rsidP="00E42A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__ Symptoms</w:t>
                  </w:r>
                </w:p>
                <w:p w14:paraId="10312DCE" w14:textId="77777777" w:rsidR="00E42A96" w:rsidRPr="00E11D46" w:rsidRDefault="00E42A96" w:rsidP="00E42A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__ Date of onset</w:t>
                  </w:r>
                </w:p>
                <w:p w14:paraId="565A79FF" w14:textId="7EC7B19A" w:rsidR="00E42A96" w:rsidRPr="00E11D46" w:rsidRDefault="00E42A96" w:rsidP="00E42A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__ Preg</w:t>
                  </w:r>
                  <w:r w:rsidR="008C5C2A"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nancy status</w:t>
                  </w:r>
                </w:p>
                <w:p w14:paraId="08A72FEB" w14:textId="77777777" w:rsidR="00DD197A" w:rsidRPr="00E11D46" w:rsidRDefault="00E42A96" w:rsidP="00E42A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__ Consent</w:t>
                  </w:r>
                </w:p>
                <w:p w14:paraId="1C73B937" w14:textId="10E5F263" w:rsidR="00E11D46" w:rsidRPr="00E11D46" w:rsidRDefault="00E11D46" w:rsidP="00E42A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__ Vaccination status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89B33" w14:textId="2C3FB9CC" w:rsidR="00E42A96" w:rsidRPr="00E11D46" w:rsidRDefault="008C5C2A" w:rsidP="00E42A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__ Date of </w:t>
                  </w:r>
                  <w:r w:rsidR="00DD197A"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sample </w:t>
                  </w: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collection</w:t>
                  </w:r>
                </w:p>
                <w:p w14:paraId="23C78946" w14:textId="77777777" w:rsidR="008C5C2A" w:rsidRPr="00E11D46" w:rsidRDefault="008C5C2A" w:rsidP="00E42A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__ </w:t>
                  </w:r>
                  <w:r w:rsidR="00DD197A"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Date of testing</w:t>
                  </w:r>
                </w:p>
                <w:p w14:paraId="7FEB00B3" w14:textId="77777777" w:rsidR="00E11D46" w:rsidRPr="00E11D46" w:rsidRDefault="00DD197A" w:rsidP="00E42A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__ </w:t>
                  </w:r>
                  <w:r w:rsidR="00E11D46"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Storage conditions (e.g. # </w:t>
                  </w:r>
                </w:p>
                <w:p w14:paraId="18E9776C" w14:textId="5059B07E" w:rsidR="00DD197A" w:rsidRPr="00E11D46" w:rsidRDefault="00E11D46" w:rsidP="00E42A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    </w:t>
                  </w:r>
                  <w:r w:rsidR="00DD197A"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freeze/thaws)</w:t>
                  </w:r>
                </w:p>
                <w:p w14:paraId="4F971983" w14:textId="163B8D92" w:rsidR="00DD197A" w:rsidRPr="00E11D46" w:rsidRDefault="00DD197A" w:rsidP="00E42A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__ Results from ZIKV testing </w:t>
                  </w:r>
                </w:p>
                <w:p w14:paraId="3F1A5E66" w14:textId="3E3FC423" w:rsidR="00DD197A" w:rsidRPr="00E11D46" w:rsidRDefault="00DD197A" w:rsidP="00E42A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__ Results from other arbovirus </w:t>
                  </w:r>
                  <w:r w:rsidR="00E11D46"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tests</w:t>
                  </w:r>
                </w:p>
                <w:p w14:paraId="5439DF95" w14:textId="1BD4B79B" w:rsidR="00E11D46" w:rsidRPr="00E11D46" w:rsidRDefault="00DD197A" w:rsidP="00E11D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__ </w:t>
                  </w:r>
                  <w:r w:rsidR="00E11D46"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Data confirming acute/convalescent </w:t>
                  </w:r>
                </w:p>
                <w:p w14:paraId="1E95475A" w14:textId="6E35AF2F" w:rsidR="00DD197A" w:rsidRPr="00E11D46" w:rsidRDefault="00E11D46" w:rsidP="00E11D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    status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F0F66" w14:textId="59525A51" w:rsidR="00E42A96" w:rsidRPr="00E11D46" w:rsidRDefault="00E42A96" w:rsidP="00E42A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8C5C2A" w:rsidRPr="00E11D46" w14:paraId="4F0442D6" w14:textId="77777777" w:rsidTr="00CD44C3">
              <w:trPr>
                <w:trHeight w:val="1601"/>
              </w:trPr>
              <w:tc>
                <w:tcPr>
                  <w:tcW w:w="185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5A3B37" w14:textId="7586D300" w:rsidR="008C5C2A" w:rsidRPr="00E11D46" w:rsidRDefault="008C5C2A" w:rsidP="008C5C2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Collection 2</w:t>
                  </w:r>
                  <w:r w:rsidR="00DD197A"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 xml:space="preserve">, etc.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763434" w14:textId="77777777" w:rsidR="008C5C2A" w:rsidRPr="00E11D46" w:rsidRDefault="008C5C2A" w:rsidP="008C5C2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Whole blood</w:t>
                  </w:r>
                </w:p>
                <w:p w14:paraId="76BD8C79" w14:textId="77777777" w:rsidR="008C5C2A" w:rsidRPr="00E11D46" w:rsidRDefault="008C5C2A" w:rsidP="008C5C2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Plasma</w:t>
                  </w:r>
                </w:p>
                <w:p w14:paraId="60C2F923" w14:textId="77777777" w:rsidR="008C5C2A" w:rsidRPr="00E11D46" w:rsidRDefault="008C5C2A" w:rsidP="008C5C2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Serum</w:t>
                  </w:r>
                </w:p>
                <w:p w14:paraId="32DCA53B" w14:textId="77777777" w:rsidR="008C5C2A" w:rsidRPr="00E11D46" w:rsidRDefault="008C5C2A" w:rsidP="008C5C2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Urine</w:t>
                  </w:r>
                </w:p>
                <w:p w14:paraId="55BBA964" w14:textId="77777777" w:rsidR="008C5C2A" w:rsidRPr="00E11D46" w:rsidRDefault="008C5C2A" w:rsidP="008C5C2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 xml:space="preserve">__ Other: </w:t>
                  </w:r>
                </w:p>
                <w:p w14:paraId="4F9E9CB3" w14:textId="77777777" w:rsidR="008C5C2A" w:rsidRPr="00E11D46" w:rsidRDefault="008C5C2A" w:rsidP="008C5C2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EE5247" w14:textId="77777777" w:rsidR="008C5C2A" w:rsidRPr="00E11D46" w:rsidRDefault="008C5C2A" w:rsidP="008C5C2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D719B3" w14:textId="77777777" w:rsidR="008C5C2A" w:rsidRPr="00E11D46" w:rsidRDefault="008C5C2A" w:rsidP="008C5C2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5E3CD1" w14:textId="77777777" w:rsidR="008C5C2A" w:rsidRPr="00E11D46" w:rsidRDefault="008C5C2A" w:rsidP="008C5C2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Age</w:t>
                  </w:r>
                </w:p>
                <w:p w14:paraId="094FEF74" w14:textId="77777777" w:rsidR="008C5C2A" w:rsidRPr="00E11D46" w:rsidRDefault="008C5C2A" w:rsidP="008C5C2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Sex</w:t>
                  </w:r>
                </w:p>
                <w:p w14:paraId="5AA1DA3B" w14:textId="77777777" w:rsidR="008C5C2A" w:rsidRPr="00E11D46" w:rsidRDefault="008C5C2A" w:rsidP="008C5C2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Symptoms</w:t>
                  </w:r>
                </w:p>
                <w:p w14:paraId="0E3DDFE7" w14:textId="77777777" w:rsidR="008C5C2A" w:rsidRPr="00E11D46" w:rsidRDefault="008C5C2A" w:rsidP="008C5C2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Date of onset</w:t>
                  </w:r>
                </w:p>
                <w:p w14:paraId="76C36BEB" w14:textId="77777777" w:rsidR="008C5C2A" w:rsidRPr="00E11D46" w:rsidRDefault="008C5C2A" w:rsidP="008C5C2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Pregnancy status</w:t>
                  </w:r>
                </w:p>
                <w:p w14:paraId="6090734A" w14:textId="77777777" w:rsidR="008C5C2A" w:rsidRPr="00E11D46" w:rsidRDefault="008C5C2A" w:rsidP="008C5C2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Consent</w:t>
                  </w:r>
                </w:p>
                <w:p w14:paraId="6601D2CC" w14:textId="20A3C7FC" w:rsidR="00E11D46" w:rsidRPr="00E11D46" w:rsidRDefault="00E11D46" w:rsidP="008C5C2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Vaccination status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B98DFFF" w14:textId="77777777" w:rsidR="00DD197A" w:rsidRPr="00E11D46" w:rsidRDefault="00DD197A" w:rsidP="00DD197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Date of sample collection</w:t>
                  </w:r>
                </w:p>
                <w:p w14:paraId="02D5FC2D" w14:textId="77777777" w:rsidR="00DD197A" w:rsidRPr="00E11D46" w:rsidRDefault="00DD197A" w:rsidP="00DD197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Date of testing</w:t>
                  </w:r>
                </w:p>
                <w:p w14:paraId="66380936" w14:textId="77777777" w:rsidR="00DD197A" w:rsidRPr="00E11D46" w:rsidRDefault="00DD197A" w:rsidP="00DD197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 xml:space="preserve">__ Storage conditions (e.g. # </w:t>
                  </w:r>
                </w:p>
                <w:p w14:paraId="0EC645AC" w14:textId="77777777" w:rsidR="00DD197A" w:rsidRPr="00E11D46" w:rsidRDefault="00DD197A" w:rsidP="00DD197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 xml:space="preserve">     freeze/thaws)</w:t>
                  </w:r>
                </w:p>
                <w:p w14:paraId="676B94EC" w14:textId="77777777" w:rsidR="00DD197A" w:rsidRPr="00E11D46" w:rsidRDefault="00DD197A" w:rsidP="00DD197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 xml:space="preserve">__ Results from ZIKV testing </w:t>
                  </w:r>
                </w:p>
                <w:p w14:paraId="2AE1B03A" w14:textId="77777777" w:rsidR="008C5C2A" w:rsidRPr="00E11D46" w:rsidRDefault="00DD197A" w:rsidP="00DD197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 xml:space="preserve">__ Results from </w:t>
                  </w:r>
                  <w:r w:rsidR="00E11D46"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other arbovirus tests</w:t>
                  </w:r>
                </w:p>
                <w:p w14:paraId="4A946304" w14:textId="77777777" w:rsidR="00E11D46" w:rsidRPr="00E11D46" w:rsidRDefault="00E11D46" w:rsidP="00DD197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Data confirming acute/convalescent</w:t>
                  </w:r>
                </w:p>
                <w:p w14:paraId="6F00D617" w14:textId="65805E1B" w:rsidR="00E11D46" w:rsidRPr="00E11D46" w:rsidRDefault="00E11D46" w:rsidP="00DD197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 xml:space="preserve">     status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E222579" w14:textId="77777777" w:rsidR="008C5C2A" w:rsidRPr="00E11D46" w:rsidRDefault="008C5C2A" w:rsidP="008C5C2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7E44BBD9" w14:textId="4B5B9082" w:rsidR="00E42A96" w:rsidRDefault="00E42A96" w:rsidP="001E63F5">
            <w:pPr>
              <w:rPr>
                <w:i/>
                <w:color w:val="627786" w:themeColor="accent3" w:themeShade="BF"/>
                <w:szCs w:val="24"/>
              </w:rPr>
            </w:pPr>
          </w:p>
        </w:tc>
      </w:tr>
      <w:tr w:rsidR="00E42A96" w:rsidRPr="008E3FB1" w14:paraId="03CEEE95" w14:textId="77777777" w:rsidTr="00CD44C3">
        <w:trPr>
          <w:trHeight w:val="5516"/>
        </w:trPr>
        <w:tc>
          <w:tcPr>
            <w:tcW w:w="14305" w:type="dxa"/>
            <w:gridSpan w:val="2"/>
          </w:tcPr>
          <w:p w14:paraId="4330167E" w14:textId="08E9F150" w:rsidR="00E42A96" w:rsidRDefault="00E42A96" w:rsidP="001E63F5">
            <w:pPr>
              <w:rPr>
                <w:i/>
                <w:color w:val="627786" w:themeColor="accent3" w:themeShade="BF"/>
                <w:szCs w:val="24"/>
              </w:rPr>
            </w:pPr>
            <w:r>
              <w:rPr>
                <w:rFonts w:cstheme="minorHAnsi"/>
                <w:b/>
              </w:rPr>
              <w:lastRenderedPageBreak/>
              <w:t xml:space="preserve">Other arbovirus sample availability </w:t>
            </w:r>
            <w:r>
              <w:rPr>
                <w:i/>
                <w:color w:val="627786" w:themeColor="accent3" w:themeShade="BF"/>
                <w:szCs w:val="24"/>
              </w:rPr>
              <w:t xml:space="preserve">Describe the availability of other arbovirus samples your laboratory/team have access to. These include: DENV, YFV, JEV, and WNV.  </w:t>
            </w:r>
            <w:r w:rsidRPr="00ED67D8">
              <w:rPr>
                <w:i/>
                <w:color w:val="627786" w:themeColor="accent3" w:themeShade="BF"/>
                <w:szCs w:val="24"/>
              </w:rPr>
              <w:t>Include type and number of samples currently stored</w:t>
            </w:r>
            <w:r>
              <w:rPr>
                <w:i/>
                <w:color w:val="627786" w:themeColor="accent3" w:themeShade="BF"/>
                <w:szCs w:val="24"/>
              </w:rPr>
              <w:t xml:space="preserve"> and </w:t>
            </w:r>
            <w:r w:rsidRPr="00ED67D8">
              <w:rPr>
                <w:i/>
                <w:color w:val="627786" w:themeColor="accent3" w:themeShade="BF"/>
                <w:szCs w:val="24"/>
              </w:rPr>
              <w:t xml:space="preserve">volumes, if clinical information is available, </w:t>
            </w:r>
            <w:r>
              <w:rPr>
                <w:i/>
                <w:color w:val="627786" w:themeColor="accent3" w:themeShade="BF"/>
                <w:szCs w:val="24"/>
              </w:rPr>
              <w:t>and source of the sample.</w:t>
            </w:r>
            <w:r w:rsidRPr="00ED67D8">
              <w:rPr>
                <w:i/>
                <w:color w:val="627786" w:themeColor="accent3" w:themeShade="BF"/>
                <w:szCs w:val="24"/>
              </w:rPr>
              <w:t xml:space="preserve"> Also </w:t>
            </w:r>
            <w:r>
              <w:rPr>
                <w:i/>
                <w:color w:val="627786" w:themeColor="accent3" w:themeShade="BF"/>
                <w:szCs w:val="24"/>
              </w:rPr>
              <w:t xml:space="preserve">specify assay(s) used to confirm </w:t>
            </w:r>
            <w:r w:rsidR="00CD44C3">
              <w:rPr>
                <w:i/>
                <w:color w:val="627786" w:themeColor="accent3" w:themeShade="BF"/>
                <w:szCs w:val="24"/>
              </w:rPr>
              <w:t xml:space="preserve">diagnosis. Add a new line for multiple collections. </w:t>
            </w:r>
            <w:r w:rsidRPr="00ED67D8">
              <w:rPr>
                <w:i/>
                <w:color w:val="627786" w:themeColor="accent3" w:themeShade="BF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86"/>
              <w:tblOverlap w:val="never"/>
              <w:tblW w:w="13917" w:type="dxa"/>
              <w:tblLook w:val="04A0" w:firstRow="1" w:lastRow="0" w:firstColumn="1" w:lastColumn="0" w:noHBand="0" w:noVBand="1"/>
            </w:tblPr>
            <w:tblGrid>
              <w:gridCol w:w="1857"/>
              <w:gridCol w:w="1620"/>
              <w:gridCol w:w="1260"/>
              <w:gridCol w:w="1823"/>
              <w:gridCol w:w="2497"/>
              <w:gridCol w:w="3060"/>
              <w:gridCol w:w="1800"/>
            </w:tblGrid>
            <w:tr w:rsidR="00CD44C3" w:rsidRPr="00E11D46" w14:paraId="4CF46461" w14:textId="77777777" w:rsidTr="00CD44C3">
              <w:trPr>
                <w:trHeight w:val="646"/>
              </w:trPr>
              <w:tc>
                <w:tcPr>
                  <w:tcW w:w="185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14:paraId="36C86527" w14:textId="5C014FE7" w:rsidR="00CD44C3" w:rsidRPr="00CD44C3" w:rsidRDefault="00D52C85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  <w:t>Name of collection, study, or panel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14:paraId="40DD4E07" w14:textId="77777777" w:rsidR="00CD44C3" w:rsidRPr="00CD44C3" w:rsidRDefault="00CD44C3" w:rsidP="00CD44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CD44C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  <w:t>Sample type(s)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14:paraId="0507399D" w14:textId="77777777" w:rsidR="00CD44C3" w:rsidRPr="00CD44C3" w:rsidRDefault="00CD44C3" w:rsidP="00CD44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CD44C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  <w:t>No. (</w:t>
                  </w:r>
                  <w:proofErr w:type="spellStart"/>
                  <w:r w:rsidRPr="00CD44C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  <w:t>vol</w:t>
                  </w:r>
                  <w:proofErr w:type="spellEnd"/>
                  <w:r w:rsidRPr="00CD44C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  <w:t>) of aliquots</w:t>
                  </w:r>
                </w:p>
              </w:tc>
              <w:tc>
                <w:tcPr>
                  <w:tcW w:w="182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14:paraId="0139F210" w14:textId="3F6A38ED" w:rsidR="00CD44C3" w:rsidRPr="00CD44C3" w:rsidRDefault="00D52C85" w:rsidP="00CD44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CD44C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  <w:t>Location of collection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  <w:t xml:space="preserve"> / name of sample provider</w:t>
                  </w:r>
                </w:p>
              </w:tc>
              <w:tc>
                <w:tcPr>
                  <w:tcW w:w="249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14:paraId="270801DE" w14:textId="77777777" w:rsidR="00CD44C3" w:rsidRPr="00CD44C3" w:rsidRDefault="00CD44C3" w:rsidP="00CD44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CD44C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  <w:t>Which of the following clinical variables are available? Select all that apply.</w:t>
                  </w:r>
                </w:p>
              </w:tc>
              <w:tc>
                <w:tcPr>
                  <w:tcW w:w="30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14:paraId="793C6203" w14:textId="77777777" w:rsidR="00CD44C3" w:rsidRPr="00CD44C3" w:rsidRDefault="00CD44C3" w:rsidP="00CD44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CD44C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  <w:t>Which of the following sample data is available? Select all that apply.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14:paraId="1C88F38F" w14:textId="29DC1C57" w:rsidR="00CD44C3" w:rsidRPr="00CD44C3" w:rsidRDefault="00CD44C3" w:rsidP="00CD44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  <w:t>C</w:t>
                  </w:r>
                  <w:r w:rsidRPr="00CD44C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GB"/>
                    </w:rPr>
                    <w:t>onfirmatory test(s) used</w:t>
                  </w:r>
                </w:p>
              </w:tc>
            </w:tr>
            <w:tr w:rsidR="00CD44C3" w:rsidRPr="00E11D46" w14:paraId="3A9F30E7" w14:textId="77777777" w:rsidTr="00CD44C3">
              <w:trPr>
                <w:trHeight w:val="1601"/>
              </w:trPr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BB641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000000"/>
                      <w:sz w:val="16"/>
                      <w:szCs w:val="16"/>
                      <w:lang w:eastAsia="en-GB"/>
                    </w:rPr>
                    <w:t>Collection 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BAD5B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__ Whole blood</w:t>
                  </w:r>
                </w:p>
                <w:p w14:paraId="444682C8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__ Plasma</w:t>
                  </w:r>
                </w:p>
                <w:p w14:paraId="6013FCE9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__ Serum</w:t>
                  </w:r>
                </w:p>
                <w:p w14:paraId="79DA50B5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__ Urine</w:t>
                  </w:r>
                </w:p>
                <w:p w14:paraId="47571655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__ Other: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087FA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D7E7F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AD7EE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__ Age</w:t>
                  </w:r>
                </w:p>
                <w:p w14:paraId="0C5AA0CD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__ Sex</w:t>
                  </w:r>
                </w:p>
                <w:p w14:paraId="0BD79C10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__ Symptoms</w:t>
                  </w:r>
                </w:p>
                <w:p w14:paraId="698ABF24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__ Date of onset</w:t>
                  </w:r>
                </w:p>
                <w:p w14:paraId="0AD3C42A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__ Pregnancy status</w:t>
                  </w:r>
                </w:p>
                <w:p w14:paraId="79192AF0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__ Consent</w:t>
                  </w:r>
                </w:p>
                <w:p w14:paraId="5591356B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__ Vaccination status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B2A01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__ Date of sample collection</w:t>
                  </w:r>
                </w:p>
                <w:p w14:paraId="2D4743ED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__ Date of testing</w:t>
                  </w:r>
                </w:p>
                <w:p w14:paraId="2205B397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__ Storage conditions (e.g. # </w:t>
                  </w:r>
                </w:p>
                <w:p w14:paraId="4FC76F30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    freeze/thaws) </w:t>
                  </w:r>
                </w:p>
                <w:p w14:paraId="31015B48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__ Results from other arbovirus tests</w:t>
                  </w:r>
                </w:p>
                <w:p w14:paraId="1C17A0A4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__ Data confirming acute/convalescent </w:t>
                  </w:r>
                </w:p>
                <w:p w14:paraId="517A71FE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    status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402E0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CD44C3" w:rsidRPr="00E11D46" w14:paraId="581C6191" w14:textId="77777777" w:rsidTr="00CD44C3">
              <w:trPr>
                <w:trHeight w:val="1601"/>
              </w:trPr>
              <w:tc>
                <w:tcPr>
                  <w:tcW w:w="185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823EC7B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 xml:space="preserve">Collection 2, etc.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533E700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Whole blood</w:t>
                  </w:r>
                </w:p>
                <w:p w14:paraId="1331CD4F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Plasma</w:t>
                  </w:r>
                </w:p>
                <w:p w14:paraId="789E0F29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Serum</w:t>
                  </w:r>
                </w:p>
                <w:p w14:paraId="62B89253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Urine</w:t>
                  </w:r>
                </w:p>
                <w:p w14:paraId="5DD272DC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 xml:space="preserve">__ Other: </w:t>
                  </w:r>
                </w:p>
                <w:p w14:paraId="6D8D53A9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CF7041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12632C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738EF6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Age</w:t>
                  </w:r>
                </w:p>
                <w:p w14:paraId="36405680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Sex</w:t>
                  </w:r>
                </w:p>
                <w:p w14:paraId="5D432BE3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Symptoms</w:t>
                  </w:r>
                </w:p>
                <w:p w14:paraId="74F796ED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Date of onset</w:t>
                  </w:r>
                </w:p>
                <w:p w14:paraId="5965FEC7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Pregnancy status</w:t>
                  </w:r>
                </w:p>
                <w:p w14:paraId="38EBFBB9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Consent</w:t>
                  </w:r>
                </w:p>
                <w:p w14:paraId="5024C378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Vaccination status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D6BB593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Date of sample collection</w:t>
                  </w:r>
                </w:p>
                <w:p w14:paraId="1821A039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Date of testing</w:t>
                  </w:r>
                </w:p>
                <w:p w14:paraId="5D0C59B0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 xml:space="preserve">__ Storage conditions (e.g. # </w:t>
                  </w:r>
                </w:p>
                <w:p w14:paraId="3DD98A82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 xml:space="preserve">     freeze/thaws) </w:t>
                  </w:r>
                </w:p>
                <w:p w14:paraId="5DA36156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Results from other arbovirus tests</w:t>
                  </w:r>
                </w:p>
                <w:p w14:paraId="5FD9FE5A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>__ Data confirming acute/convalescent</w:t>
                  </w:r>
                </w:p>
                <w:p w14:paraId="48FFA1EE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  <w:r w:rsidRPr="00E11D46"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  <w:t xml:space="preserve">     status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F3FC22" w14:textId="77777777" w:rsidR="00CD44C3" w:rsidRPr="00E11D46" w:rsidRDefault="00CD44C3" w:rsidP="00CD44C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7F7F7F" w:themeColor="text1" w:themeTint="80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32766A0B" w14:textId="6F82807F" w:rsidR="00CD44C3" w:rsidRPr="00DD197A" w:rsidRDefault="00CD44C3" w:rsidP="001E63F5">
            <w:pPr>
              <w:rPr>
                <w:rFonts w:cstheme="minorHAnsi"/>
                <w:b/>
              </w:rPr>
            </w:pPr>
          </w:p>
        </w:tc>
      </w:tr>
    </w:tbl>
    <w:p w14:paraId="0DEE4C06" w14:textId="77777777" w:rsidR="004E6D0A" w:rsidRPr="009D430C" w:rsidRDefault="004E6D0A" w:rsidP="009D430C">
      <w:pPr>
        <w:spacing w:after="0" w:line="240" w:lineRule="auto"/>
        <w:rPr>
          <w:b/>
          <w:color w:val="5A2259" w:themeColor="accent1"/>
          <w:sz w:val="24"/>
          <w:szCs w:val="24"/>
          <w:lang w:val="en-US"/>
        </w:rPr>
      </w:pPr>
    </w:p>
    <w:p w14:paraId="304D719A" w14:textId="77777777" w:rsidR="00913FC8" w:rsidRPr="00913FC8" w:rsidRDefault="00913FC8" w:rsidP="00913FC8">
      <w:pPr>
        <w:spacing w:after="0" w:line="240" w:lineRule="auto"/>
        <w:rPr>
          <w:b/>
          <w:color w:val="5A2259" w:themeColor="accent1"/>
          <w:sz w:val="24"/>
          <w:szCs w:val="24"/>
          <w:lang w:val="en-US"/>
        </w:rPr>
      </w:pPr>
    </w:p>
    <w:p w14:paraId="2471E9FF" w14:textId="1F9DDA3D" w:rsidR="00A31F49" w:rsidRDefault="00A31F49">
      <w:pPr>
        <w:rPr>
          <w:lang w:val="en-US"/>
        </w:rPr>
      </w:pPr>
      <w:r>
        <w:rPr>
          <w:lang w:val="en-US"/>
        </w:rPr>
        <w:br w:type="page"/>
      </w:r>
    </w:p>
    <w:p w14:paraId="06EDF0BA" w14:textId="77777777" w:rsidR="00E42A96" w:rsidRDefault="00E42A96" w:rsidP="00A31F49">
      <w:pPr>
        <w:spacing w:after="0" w:line="240" w:lineRule="auto"/>
        <w:rPr>
          <w:b/>
          <w:color w:val="5A2259" w:themeColor="accent1"/>
          <w:sz w:val="32"/>
          <w:szCs w:val="32"/>
          <w:lang w:val="en-US"/>
        </w:rPr>
        <w:sectPr w:rsidR="00E42A96" w:rsidSect="00E42A96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EE1FADD" w14:textId="44E100F1" w:rsidR="00A31F49" w:rsidRPr="00071250" w:rsidRDefault="00A31F49" w:rsidP="00A31F49">
      <w:pPr>
        <w:spacing w:after="0" w:line="240" w:lineRule="auto"/>
        <w:rPr>
          <w:b/>
          <w:color w:val="5A2259" w:themeColor="accent1"/>
          <w:sz w:val="32"/>
          <w:szCs w:val="32"/>
          <w:lang w:val="en-US"/>
        </w:rPr>
      </w:pPr>
      <w:r>
        <w:rPr>
          <w:b/>
          <w:color w:val="5A2259" w:themeColor="accent1"/>
          <w:sz w:val="32"/>
          <w:szCs w:val="32"/>
          <w:lang w:val="en-US"/>
        </w:rPr>
        <w:lastRenderedPageBreak/>
        <w:t>Appendix 1</w:t>
      </w:r>
      <w:r w:rsidRPr="00071250">
        <w:rPr>
          <w:b/>
          <w:color w:val="5A2259" w:themeColor="accent1"/>
          <w:sz w:val="32"/>
          <w:szCs w:val="32"/>
          <w:lang w:val="en-US"/>
        </w:rPr>
        <w:t xml:space="preserve">: </w:t>
      </w:r>
      <w:r w:rsidR="00C82C18">
        <w:rPr>
          <w:b/>
          <w:color w:val="5A2259" w:themeColor="accent1"/>
          <w:sz w:val="32"/>
          <w:szCs w:val="32"/>
          <w:lang w:val="en-US"/>
        </w:rPr>
        <w:t xml:space="preserve">Samples of interest </w:t>
      </w:r>
      <w:r w:rsidR="00C76D9A">
        <w:rPr>
          <w:b/>
          <w:color w:val="5A2259" w:themeColor="accent1"/>
          <w:sz w:val="32"/>
          <w:szCs w:val="32"/>
          <w:lang w:val="en-US"/>
        </w:rPr>
        <w:t>for inclusion</w:t>
      </w:r>
      <w:r w:rsidR="00C82C18">
        <w:rPr>
          <w:b/>
          <w:color w:val="5A2259" w:themeColor="accent1"/>
          <w:sz w:val="32"/>
          <w:szCs w:val="32"/>
          <w:lang w:val="en-US"/>
        </w:rPr>
        <w:t xml:space="preserve"> </w:t>
      </w:r>
      <w:r w:rsidR="001E63F5">
        <w:rPr>
          <w:b/>
          <w:color w:val="5A2259" w:themeColor="accent1"/>
          <w:sz w:val="32"/>
          <w:szCs w:val="32"/>
          <w:lang w:val="en-US"/>
        </w:rPr>
        <w:t xml:space="preserve">into </w:t>
      </w:r>
      <w:r w:rsidR="00B16C16">
        <w:rPr>
          <w:b/>
          <w:color w:val="5A2259" w:themeColor="accent1"/>
          <w:sz w:val="32"/>
          <w:szCs w:val="32"/>
          <w:lang w:val="en-US"/>
        </w:rPr>
        <w:t>evaluation panels</w:t>
      </w:r>
      <w:r>
        <w:rPr>
          <w:b/>
          <w:color w:val="5A2259" w:themeColor="accent1"/>
          <w:sz w:val="32"/>
          <w:szCs w:val="32"/>
          <w:lang w:val="en-US"/>
        </w:rPr>
        <w:t xml:space="preserve"> </w:t>
      </w:r>
      <w:r w:rsidRPr="00071250">
        <w:rPr>
          <w:b/>
          <w:color w:val="5A2259" w:themeColor="accent1"/>
          <w:sz w:val="32"/>
          <w:szCs w:val="32"/>
          <w:lang w:val="en-US"/>
        </w:rPr>
        <w:t xml:space="preserve"> </w:t>
      </w:r>
    </w:p>
    <w:p w14:paraId="05CA0658" w14:textId="77777777" w:rsidR="00913FC8" w:rsidRDefault="00913FC8" w:rsidP="005F3B53">
      <w:pPr>
        <w:spacing w:after="0" w:line="240" w:lineRule="auto"/>
        <w:rPr>
          <w:lang w:val="en-US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5940"/>
      </w:tblGrid>
      <w:tr w:rsidR="00CD44C3" w:rsidRPr="00B16C16" w14:paraId="5475DAB5" w14:textId="4697F96F" w:rsidTr="00CD44C3">
        <w:trPr>
          <w:trHeight w:val="315"/>
        </w:trPr>
        <w:tc>
          <w:tcPr>
            <w:tcW w:w="2425" w:type="dxa"/>
            <w:shd w:val="clear" w:color="000000" w:fill="DAEEF3"/>
            <w:vAlign w:val="center"/>
            <w:hideMark/>
          </w:tcPr>
          <w:p w14:paraId="0F464E81" w14:textId="71869116" w:rsidR="00CD44C3" w:rsidRPr="00B16C16" w:rsidRDefault="00CD44C3" w:rsidP="00A816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16C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Category </w:t>
            </w:r>
          </w:p>
        </w:tc>
        <w:tc>
          <w:tcPr>
            <w:tcW w:w="5940" w:type="dxa"/>
            <w:shd w:val="clear" w:color="000000" w:fill="DAEEF3"/>
            <w:vAlign w:val="center"/>
            <w:hideMark/>
          </w:tcPr>
          <w:p w14:paraId="173E6409" w14:textId="5E74D231" w:rsidR="00CD44C3" w:rsidRPr="00B16C16" w:rsidRDefault="00CD44C3" w:rsidP="00A81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16C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</w:tr>
      <w:tr w:rsidR="00CD44C3" w:rsidRPr="00A8164F" w14:paraId="3CB0B9C6" w14:textId="39E04662" w:rsidTr="00CD44C3">
        <w:trPr>
          <w:trHeight w:val="656"/>
        </w:trPr>
        <w:tc>
          <w:tcPr>
            <w:tcW w:w="2425" w:type="dxa"/>
            <w:shd w:val="clear" w:color="auto" w:fill="auto"/>
            <w:vAlign w:val="center"/>
            <w:hideMark/>
          </w:tcPr>
          <w:p w14:paraId="485444C5" w14:textId="70DB3154" w:rsidR="00CD44C3" w:rsidRPr="00A8164F" w:rsidRDefault="00CD44C3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ZIKV convalescent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14:paraId="63DF0C6F" w14:textId="076C418F" w:rsidR="00CD44C3" w:rsidRPr="00A8164F" w:rsidRDefault="00CD44C3" w:rsidP="0092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Samples from previously confirmed ZIKV infected individuals, collected &gt;3 months after initial diagnosis </w:t>
            </w:r>
          </w:p>
        </w:tc>
      </w:tr>
      <w:tr w:rsidR="00CD44C3" w:rsidRPr="00A8164F" w14:paraId="1A73E1D9" w14:textId="77777777" w:rsidTr="00CD44C3">
        <w:trPr>
          <w:trHeight w:val="530"/>
        </w:trPr>
        <w:tc>
          <w:tcPr>
            <w:tcW w:w="2425" w:type="dxa"/>
            <w:shd w:val="clear" w:color="auto" w:fill="auto"/>
            <w:vAlign w:val="center"/>
          </w:tcPr>
          <w:p w14:paraId="09CFB7A2" w14:textId="6AAC108B" w:rsidR="00CD44C3" w:rsidRDefault="00CD44C3" w:rsidP="00A8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ZIKV exposed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0C47ACD" w14:textId="4EFF9E9E" w:rsidR="00CD44C3" w:rsidRDefault="00CD44C3" w:rsidP="0092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Samples from individuals with ZIKV IgM or IgG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titers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NAT negative</w:t>
            </w:r>
          </w:p>
        </w:tc>
      </w:tr>
      <w:tr w:rsidR="00CD44C3" w:rsidRPr="00A8164F" w14:paraId="731E3DB4" w14:textId="470BD4D0" w:rsidTr="00CD44C3">
        <w:trPr>
          <w:trHeight w:val="2330"/>
        </w:trPr>
        <w:tc>
          <w:tcPr>
            <w:tcW w:w="2425" w:type="dxa"/>
            <w:shd w:val="clear" w:color="auto" w:fill="auto"/>
            <w:vAlign w:val="center"/>
            <w:hideMark/>
          </w:tcPr>
          <w:p w14:paraId="62D3C149" w14:textId="2C61AFBA" w:rsidR="00CD44C3" w:rsidRPr="00A8164F" w:rsidRDefault="00CD44C3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ZIKV acute, convalescent, and exposed from pregnant women 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14:paraId="086E268D" w14:textId="77777777" w:rsidR="00CD44C3" w:rsidRDefault="00CD44C3" w:rsidP="0092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75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GB"/>
              </w:rPr>
              <w:t>Acute: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samples from confirmed ZIKV infected women who were pregnant, collected &lt;2 weeks after symptom onset </w:t>
            </w:r>
          </w:p>
          <w:p w14:paraId="45AAF5EF" w14:textId="77777777" w:rsidR="00CD44C3" w:rsidRDefault="00CD44C3" w:rsidP="0092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588B5060" w14:textId="77777777" w:rsidR="00CD44C3" w:rsidRDefault="00CD44C3" w:rsidP="007D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75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GB"/>
              </w:rPr>
              <w:t>Convalescent: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samples from previously confirmed ZIKV infected women who were pregnant collected &gt;4 weeks after initial sample collection. </w:t>
            </w:r>
          </w:p>
          <w:p w14:paraId="73975D6C" w14:textId="77777777" w:rsidR="00CD44C3" w:rsidRDefault="00CD44C3" w:rsidP="007D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70AAFDFC" w14:textId="16D01458" w:rsidR="00CD44C3" w:rsidRPr="00A8164F" w:rsidRDefault="00CD44C3" w:rsidP="007D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C7E6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GB"/>
              </w:rPr>
              <w:t>Exposed: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samples from probable ZIKV infected individuals with no paired acute/convalescent sample, with known yellow fever vaccination status</w:t>
            </w:r>
          </w:p>
        </w:tc>
      </w:tr>
      <w:tr w:rsidR="00CD44C3" w:rsidRPr="00A8164F" w14:paraId="1FA266B5" w14:textId="31A89179" w:rsidTr="00CD44C3">
        <w:trPr>
          <w:trHeight w:val="800"/>
        </w:trPr>
        <w:tc>
          <w:tcPr>
            <w:tcW w:w="2425" w:type="dxa"/>
            <w:shd w:val="clear" w:color="auto" w:fill="auto"/>
            <w:vAlign w:val="center"/>
            <w:hideMark/>
          </w:tcPr>
          <w:p w14:paraId="6A322630" w14:textId="60EC1375" w:rsidR="00CD44C3" w:rsidRPr="00A8164F" w:rsidRDefault="00CD44C3" w:rsidP="00A8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ZIKV and DENV co-infection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14:paraId="20EFECC3" w14:textId="4CE72E70" w:rsidR="00CD44C3" w:rsidRPr="00A8164F" w:rsidRDefault="00CD44C3" w:rsidP="007D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Samples from individuals with confirmed ZIKV and DENV co-infection, collected &lt;2 weeks after symptom onset </w:t>
            </w:r>
          </w:p>
        </w:tc>
      </w:tr>
      <w:tr w:rsidR="00CD44C3" w:rsidRPr="00A8164F" w14:paraId="653EB583" w14:textId="2ADF50C5" w:rsidTr="00CD44C3">
        <w:trPr>
          <w:trHeight w:val="2420"/>
        </w:trPr>
        <w:tc>
          <w:tcPr>
            <w:tcW w:w="2425" w:type="dxa"/>
            <w:shd w:val="clear" w:color="auto" w:fill="auto"/>
            <w:vAlign w:val="center"/>
          </w:tcPr>
          <w:p w14:paraId="344AFE9A" w14:textId="76D8CE94" w:rsidR="00CD44C3" w:rsidRPr="00A8164F" w:rsidRDefault="00CD44C3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ZIKV acute, convalescent, and exposed from YFV or JEV vaccinated individuals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4358A55" w14:textId="4070246E" w:rsidR="00CD44C3" w:rsidRDefault="00CD44C3" w:rsidP="007D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75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GB"/>
              </w:rPr>
              <w:t>Acute: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samples from confirmed ZIKV infected individuals, collected &lt;2 weeks after symptom onset, with known YFV and/or JEV vaccination status</w:t>
            </w:r>
          </w:p>
          <w:p w14:paraId="15088445" w14:textId="77777777" w:rsidR="00CD44C3" w:rsidRDefault="00CD44C3" w:rsidP="007D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198958A2" w14:textId="0CCFBDA2" w:rsidR="00CD44C3" w:rsidRDefault="00CD44C3" w:rsidP="005C7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75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GB"/>
              </w:rPr>
              <w:t>Convalescent: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samples from previously confirmed ZIKV infected individuals, collected &gt;4 weeks after initial sample collection, with known YFV or JEV vaccination status </w:t>
            </w:r>
          </w:p>
          <w:p w14:paraId="4519F4E0" w14:textId="77777777" w:rsidR="00CD44C3" w:rsidRDefault="00CD44C3" w:rsidP="005C7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3C163369" w14:textId="65655DE4" w:rsidR="00CD44C3" w:rsidRPr="00A8164F" w:rsidRDefault="00CD44C3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C7E6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GB"/>
              </w:rPr>
              <w:t>Exposed: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samples from individuals with ZIKV IgM or IgG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titers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NAT negative, with known YFV or JEV vaccination status</w:t>
            </w:r>
          </w:p>
        </w:tc>
      </w:tr>
    </w:tbl>
    <w:p w14:paraId="70A64D5C" w14:textId="7CCFF0BB" w:rsidR="00A8164F" w:rsidRDefault="00315DC7" w:rsidP="005F3B53">
      <w:pPr>
        <w:spacing w:after="0" w:line="240" w:lineRule="auto"/>
        <w:rPr>
          <w:sz w:val="18"/>
          <w:lang w:val="en-US"/>
        </w:rPr>
      </w:pPr>
      <w:r>
        <w:rPr>
          <w:sz w:val="18"/>
          <w:lang w:val="en-US"/>
        </w:rPr>
        <w:t xml:space="preserve">JEV: Japanese encephalitis virus. </w:t>
      </w:r>
      <w:r w:rsidRPr="00315DC7">
        <w:rPr>
          <w:sz w:val="18"/>
          <w:lang w:val="en-US"/>
        </w:rPr>
        <w:t xml:space="preserve">NAT: nucleic acid. YFV: yellow fever virus. </w:t>
      </w:r>
    </w:p>
    <w:p w14:paraId="639C7D13" w14:textId="057739B7" w:rsidR="00FD249E" w:rsidRDefault="00FD249E">
      <w:pPr>
        <w:rPr>
          <w:sz w:val="18"/>
          <w:lang w:val="en-US"/>
        </w:rPr>
      </w:pPr>
      <w:r>
        <w:rPr>
          <w:sz w:val="18"/>
          <w:lang w:val="en-US"/>
        </w:rPr>
        <w:br w:type="page"/>
      </w:r>
    </w:p>
    <w:p w14:paraId="04CBEA6B" w14:textId="2BC7BA49" w:rsidR="00FD249E" w:rsidRPr="00071250" w:rsidRDefault="00FD249E" w:rsidP="00FD249E">
      <w:pPr>
        <w:spacing w:after="0" w:line="240" w:lineRule="auto"/>
        <w:rPr>
          <w:b/>
          <w:color w:val="5A2259" w:themeColor="accent1"/>
          <w:sz w:val="32"/>
          <w:szCs w:val="32"/>
          <w:lang w:val="en-US"/>
        </w:rPr>
      </w:pPr>
      <w:r>
        <w:rPr>
          <w:b/>
          <w:color w:val="5A2259" w:themeColor="accent1"/>
          <w:sz w:val="32"/>
          <w:szCs w:val="32"/>
          <w:lang w:val="en-US"/>
        </w:rPr>
        <w:lastRenderedPageBreak/>
        <w:t>Appendix 2</w:t>
      </w:r>
      <w:r w:rsidRPr="00071250">
        <w:rPr>
          <w:b/>
          <w:color w:val="5A2259" w:themeColor="accent1"/>
          <w:sz w:val="32"/>
          <w:szCs w:val="32"/>
          <w:lang w:val="en-US"/>
        </w:rPr>
        <w:t xml:space="preserve">: </w:t>
      </w:r>
      <w:r>
        <w:rPr>
          <w:b/>
          <w:color w:val="5A2259" w:themeColor="accent1"/>
          <w:sz w:val="32"/>
          <w:szCs w:val="32"/>
          <w:lang w:val="en-US"/>
        </w:rPr>
        <w:t>Proposed evaluation panels</w:t>
      </w:r>
      <w:r w:rsidR="00B16C16">
        <w:rPr>
          <w:b/>
          <w:color w:val="5A2259" w:themeColor="accent1"/>
          <w:sz w:val="32"/>
          <w:szCs w:val="32"/>
          <w:lang w:val="en-US"/>
        </w:rPr>
        <w:t>*</w:t>
      </w:r>
      <w:r>
        <w:rPr>
          <w:b/>
          <w:color w:val="5A2259" w:themeColor="accent1"/>
          <w:sz w:val="32"/>
          <w:szCs w:val="32"/>
          <w:lang w:val="en-US"/>
        </w:rPr>
        <w:t xml:space="preserve">   </w:t>
      </w:r>
      <w:r w:rsidRPr="00071250">
        <w:rPr>
          <w:b/>
          <w:color w:val="5A2259" w:themeColor="accent1"/>
          <w:sz w:val="32"/>
          <w:szCs w:val="32"/>
          <w:lang w:val="en-US"/>
        </w:rPr>
        <w:t xml:space="preserve"> </w:t>
      </w:r>
    </w:p>
    <w:p w14:paraId="49EDE5F7" w14:textId="77777777" w:rsidR="00FD249E" w:rsidRDefault="00FD249E" w:rsidP="005F3B53">
      <w:pPr>
        <w:spacing w:after="0" w:line="240" w:lineRule="auto"/>
        <w:rPr>
          <w:sz w:val="18"/>
          <w:lang w:val="en-US"/>
        </w:rPr>
      </w:pP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1906"/>
        <w:gridCol w:w="7210"/>
      </w:tblGrid>
      <w:tr w:rsidR="00FD249E" w:rsidRPr="00B16C16" w14:paraId="332E6BE0" w14:textId="77777777" w:rsidTr="00B16C16">
        <w:trPr>
          <w:trHeight w:val="300"/>
        </w:trPr>
        <w:tc>
          <w:tcPr>
            <w:tcW w:w="1906" w:type="dxa"/>
            <w:shd w:val="clear" w:color="auto" w:fill="E9C6E9" w:themeFill="accent1" w:themeFillTint="33"/>
            <w:noWrap/>
            <w:vAlign w:val="center"/>
            <w:hideMark/>
          </w:tcPr>
          <w:p w14:paraId="055603F3" w14:textId="77777777" w:rsidR="00FD249E" w:rsidRPr="00B16C16" w:rsidRDefault="00FD249E" w:rsidP="00B16C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Panels</w:t>
            </w:r>
          </w:p>
        </w:tc>
        <w:tc>
          <w:tcPr>
            <w:tcW w:w="7210" w:type="dxa"/>
            <w:tcBorders>
              <w:bottom w:val="single" w:sz="4" w:space="0" w:color="auto"/>
            </w:tcBorders>
            <w:shd w:val="clear" w:color="auto" w:fill="E9C6E9" w:themeFill="accent1" w:themeFillTint="33"/>
            <w:noWrap/>
            <w:vAlign w:val="center"/>
            <w:hideMark/>
          </w:tcPr>
          <w:p w14:paraId="4FE22EE8" w14:textId="77777777" w:rsidR="00FD249E" w:rsidRPr="00B16C16" w:rsidRDefault="00FD249E" w:rsidP="00B16C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Composition</w:t>
            </w:r>
          </w:p>
        </w:tc>
      </w:tr>
      <w:tr w:rsidR="00B16C16" w:rsidRPr="00B16C16" w14:paraId="66D9687B" w14:textId="77777777" w:rsidTr="00B16C16">
        <w:trPr>
          <w:trHeight w:val="289"/>
        </w:trPr>
        <w:tc>
          <w:tcPr>
            <w:tcW w:w="1906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2F0EAC5D" w14:textId="77777777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B16C1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MDx</w:t>
            </w:r>
            <w:proofErr w:type="spellEnd"/>
            <w:r w:rsidRPr="00B16C1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Qualification </w:t>
            </w:r>
          </w:p>
          <w:p w14:paraId="16ED31F1" w14:textId="60F72F85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A19B8E" w14:textId="77777777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b/>
                <w:sz w:val="18"/>
                <w:szCs w:val="18"/>
                <w:lang w:val="en-GB"/>
              </w:rPr>
              <w:t>55 test samples</w:t>
            </w:r>
          </w:p>
        </w:tc>
      </w:tr>
      <w:tr w:rsidR="00B16C16" w:rsidRPr="00B16C16" w14:paraId="207F603D" w14:textId="77777777" w:rsidTr="00B16C16">
        <w:trPr>
          <w:trHeight w:val="300"/>
        </w:trPr>
        <w:tc>
          <w:tcPr>
            <w:tcW w:w="1906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14:paraId="3D8A24FA" w14:textId="25C91A9C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B9730B" w14:textId="5746982C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5 x 9 serial half-log dilutions (1.58x103-1.58x10-1 IU/ml) of intl. ZIKV RNA standards</w:t>
            </w:r>
          </w:p>
        </w:tc>
      </w:tr>
      <w:tr w:rsidR="00B16C16" w:rsidRPr="00B16C16" w14:paraId="0CFDD64D" w14:textId="77777777" w:rsidTr="00B16C16">
        <w:trPr>
          <w:trHeight w:val="300"/>
        </w:trPr>
        <w:tc>
          <w:tcPr>
            <w:tcW w:w="1906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14:paraId="519BC5B9" w14:textId="5C77701D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FD2192" w14:textId="59F4A107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6 negative controls </w:t>
            </w:r>
          </w:p>
        </w:tc>
      </w:tr>
      <w:tr w:rsidR="00B16C16" w:rsidRPr="00B16C16" w14:paraId="2443CD52" w14:textId="77777777" w:rsidTr="00B16C16">
        <w:trPr>
          <w:trHeight w:val="300"/>
        </w:trPr>
        <w:tc>
          <w:tcPr>
            <w:tcW w:w="1906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14:paraId="01130FE8" w14:textId="1D374A25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55F924" w14:textId="18D2699B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1 DENV control </w:t>
            </w:r>
          </w:p>
        </w:tc>
      </w:tr>
      <w:tr w:rsidR="00B16C16" w:rsidRPr="00B16C16" w14:paraId="04E3D534" w14:textId="77777777" w:rsidTr="00B16C16">
        <w:trPr>
          <w:trHeight w:val="300"/>
        </w:trPr>
        <w:tc>
          <w:tcPr>
            <w:tcW w:w="1906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14:paraId="58288FAA" w14:textId="78C2E595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C5489" w14:textId="5B2A0D8A" w:rsidR="00B16C16" w:rsidRPr="00CD44C3" w:rsidRDefault="00B16C16" w:rsidP="00B16C1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Pr="00CD44C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1 CHIKV control </w:t>
            </w:r>
          </w:p>
        </w:tc>
      </w:tr>
      <w:tr w:rsidR="00B16C16" w:rsidRPr="00B16C16" w14:paraId="374DFB3E" w14:textId="77777777" w:rsidTr="00B16C16">
        <w:trPr>
          <w:trHeight w:val="300"/>
        </w:trPr>
        <w:tc>
          <w:tcPr>
            <w:tcW w:w="1906" w:type="dxa"/>
            <w:vMerge w:val="restart"/>
            <w:shd w:val="clear" w:color="auto" w:fill="E7EBEE" w:themeFill="accent3" w:themeFillTint="33"/>
            <w:noWrap/>
            <w:vAlign w:val="center"/>
            <w:hideMark/>
          </w:tcPr>
          <w:p w14:paraId="115F9390" w14:textId="77777777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B16C1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MDx</w:t>
            </w:r>
            <w:proofErr w:type="spellEnd"/>
            <w:r w:rsidRPr="00B16C1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Analytical </w:t>
            </w:r>
          </w:p>
          <w:p w14:paraId="3376DFAB" w14:textId="1AACAA12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7210" w:type="dxa"/>
            <w:tcBorders>
              <w:top w:val="single" w:sz="4" w:space="0" w:color="auto"/>
              <w:bottom w:val="nil"/>
            </w:tcBorders>
            <w:shd w:val="clear" w:color="auto" w:fill="E7EBEE" w:themeFill="accent3" w:themeFillTint="33"/>
            <w:noWrap/>
            <w:vAlign w:val="center"/>
            <w:hideMark/>
          </w:tcPr>
          <w:p w14:paraId="726F6A4D" w14:textId="77777777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b/>
                <w:sz w:val="18"/>
                <w:szCs w:val="18"/>
                <w:lang w:val="en-GB"/>
              </w:rPr>
              <w:t>250 test samples</w:t>
            </w:r>
          </w:p>
        </w:tc>
      </w:tr>
      <w:tr w:rsidR="00B16C16" w:rsidRPr="00B16C16" w14:paraId="0E353C8C" w14:textId="77777777" w:rsidTr="00B16C16">
        <w:trPr>
          <w:trHeight w:val="300"/>
        </w:trPr>
        <w:tc>
          <w:tcPr>
            <w:tcW w:w="1906" w:type="dxa"/>
            <w:vMerge/>
            <w:shd w:val="clear" w:color="auto" w:fill="E7EBEE" w:themeFill="accent3" w:themeFillTint="33"/>
            <w:noWrap/>
            <w:vAlign w:val="center"/>
            <w:hideMark/>
          </w:tcPr>
          <w:p w14:paraId="45AC4952" w14:textId="5BC0E009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  <w:bottom w:val="nil"/>
            </w:tcBorders>
            <w:shd w:val="clear" w:color="auto" w:fill="E7EBEE" w:themeFill="accent3" w:themeFillTint="33"/>
            <w:noWrap/>
            <w:vAlign w:val="center"/>
            <w:hideMark/>
          </w:tcPr>
          <w:p w14:paraId="7D85B9C9" w14:textId="63F58C68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5 x 11 serial half-log dilutions (1.58x103-1.58x10-1 IU/ml) of intl. ZIKV RNA standards</w:t>
            </w:r>
          </w:p>
        </w:tc>
      </w:tr>
      <w:tr w:rsidR="00B16C16" w:rsidRPr="00B16C16" w14:paraId="3A12D288" w14:textId="77777777" w:rsidTr="00B16C16">
        <w:trPr>
          <w:trHeight w:val="300"/>
        </w:trPr>
        <w:tc>
          <w:tcPr>
            <w:tcW w:w="1906" w:type="dxa"/>
            <w:vMerge/>
            <w:shd w:val="clear" w:color="auto" w:fill="E7EBEE" w:themeFill="accent3" w:themeFillTint="33"/>
            <w:noWrap/>
            <w:vAlign w:val="center"/>
            <w:hideMark/>
          </w:tcPr>
          <w:p w14:paraId="2B608953" w14:textId="7C1945D9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  <w:bottom w:val="nil"/>
            </w:tcBorders>
            <w:shd w:val="clear" w:color="auto" w:fill="E7EBEE" w:themeFill="accent3" w:themeFillTint="33"/>
            <w:noWrap/>
            <w:vAlign w:val="center"/>
            <w:hideMark/>
          </w:tcPr>
          <w:p w14:paraId="3180ED0D" w14:textId="4371BD58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25 negative controls </w:t>
            </w:r>
          </w:p>
        </w:tc>
      </w:tr>
      <w:tr w:rsidR="00B16C16" w:rsidRPr="00B16C16" w14:paraId="6BDCA3FC" w14:textId="77777777" w:rsidTr="00B16C16">
        <w:trPr>
          <w:trHeight w:val="300"/>
        </w:trPr>
        <w:tc>
          <w:tcPr>
            <w:tcW w:w="1906" w:type="dxa"/>
            <w:vMerge/>
            <w:shd w:val="clear" w:color="auto" w:fill="E7EBEE" w:themeFill="accent3" w:themeFillTint="33"/>
            <w:noWrap/>
            <w:vAlign w:val="center"/>
            <w:hideMark/>
          </w:tcPr>
          <w:p w14:paraId="7F2377D4" w14:textId="49937F87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  <w:bottom w:val="nil"/>
            </w:tcBorders>
            <w:shd w:val="clear" w:color="auto" w:fill="E7EBEE" w:themeFill="accent3" w:themeFillTint="33"/>
            <w:noWrap/>
            <w:vAlign w:val="center"/>
            <w:hideMark/>
          </w:tcPr>
          <w:p w14:paraId="0EB90AB6" w14:textId="7D79B367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1 DENV control </w:t>
            </w:r>
          </w:p>
        </w:tc>
      </w:tr>
      <w:tr w:rsidR="00B16C16" w:rsidRPr="00B16C16" w14:paraId="1ABBDC06" w14:textId="77777777" w:rsidTr="00B16C16">
        <w:trPr>
          <w:trHeight w:val="300"/>
        </w:trPr>
        <w:tc>
          <w:tcPr>
            <w:tcW w:w="1906" w:type="dxa"/>
            <w:vMerge/>
            <w:shd w:val="clear" w:color="auto" w:fill="E7EBEE" w:themeFill="accent3" w:themeFillTint="33"/>
            <w:noWrap/>
            <w:vAlign w:val="center"/>
            <w:hideMark/>
          </w:tcPr>
          <w:p w14:paraId="0A8BD969" w14:textId="21EC36A3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  <w:bottom w:val="single" w:sz="4" w:space="0" w:color="auto"/>
            </w:tcBorders>
            <w:shd w:val="clear" w:color="auto" w:fill="E7EBEE" w:themeFill="accent3" w:themeFillTint="33"/>
            <w:noWrap/>
            <w:vAlign w:val="center"/>
            <w:hideMark/>
          </w:tcPr>
          <w:p w14:paraId="3220431F" w14:textId="40E47FD6" w:rsidR="00B16C16" w:rsidRPr="00CD44C3" w:rsidRDefault="00B16C16" w:rsidP="00B16C1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Pr="00CD44C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1 CHIKV control </w:t>
            </w:r>
          </w:p>
        </w:tc>
      </w:tr>
      <w:tr w:rsidR="00B16C16" w:rsidRPr="00B16C16" w14:paraId="4F177A20" w14:textId="77777777" w:rsidTr="00B16C16">
        <w:trPr>
          <w:trHeight w:val="300"/>
        </w:trPr>
        <w:tc>
          <w:tcPr>
            <w:tcW w:w="1906" w:type="dxa"/>
            <w:vMerge w:val="restart"/>
            <w:noWrap/>
            <w:vAlign w:val="center"/>
            <w:hideMark/>
          </w:tcPr>
          <w:p w14:paraId="33F48AE7" w14:textId="77777777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B16C1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MDx</w:t>
            </w:r>
            <w:proofErr w:type="spellEnd"/>
            <w:r w:rsidRPr="00B16C1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Clinical - plasma</w:t>
            </w:r>
          </w:p>
        </w:tc>
        <w:tc>
          <w:tcPr>
            <w:tcW w:w="7210" w:type="dxa"/>
            <w:tcBorders>
              <w:bottom w:val="nil"/>
            </w:tcBorders>
            <w:noWrap/>
            <w:vAlign w:val="center"/>
            <w:hideMark/>
          </w:tcPr>
          <w:p w14:paraId="478186A6" w14:textId="77777777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30-50 ZIKV NAT(+) </w:t>
            </w:r>
          </w:p>
        </w:tc>
      </w:tr>
      <w:tr w:rsidR="00B16C16" w:rsidRPr="00B16C16" w14:paraId="55095CFC" w14:textId="77777777" w:rsidTr="00B16C16">
        <w:trPr>
          <w:trHeight w:val="300"/>
        </w:trPr>
        <w:tc>
          <w:tcPr>
            <w:tcW w:w="1906" w:type="dxa"/>
            <w:vMerge/>
            <w:noWrap/>
            <w:vAlign w:val="center"/>
            <w:hideMark/>
          </w:tcPr>
          <w:p w14:paraId="52B50613" w14:textId="77777777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5B6E8B0" w14:textId="7A7A8F4C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5 serial dilutions of high ZIKV VL </w:t>
            </w:r>
          </w:p>
        </w:tc>
      </w:tr>
      <w:tr w:rsidR="00B16C16" w:rsidRPr="00B16C16" w14:paraId="22C8D8EB" w14:textId="77777777" w:rsidTr="00B16C16">
        <w:trPr>
          <w:trHeight w:val="300"/>
        </w:trPr>
        <w:tc>
          <w:tcPr>
            <w:tcW w:w="1906" w:type="dxa"/>
            <w:vMerge w:val="restart"/>
            <w:shd w:val="clear" w:color="auto" w:fill="E7EBEE" w:themeFill="accent3" w:themeFillTint="33"/>
            <w:noWrap/>
            <w:vAlign w:val="center"/>
            <w:hideMark/>
          </w:tcPr>
          <w:p w14:paraId="4E9B84BA" w14:textId="77777777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IgM qualification </w:t>
            </w:r>
          </w:p>
          <w:p w14:paraId="6E3140FC" w14:textId="3F3FA6AB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7210" w:type="dxa"/>
            <w:tcBorders>
              <w:bottom w:val="nil"/>
            </w:tcBorders>
            <w:shd w:val="clear" w:color="auto" w:fill="E7EBEE" w:themeFill="accent3" w:themeFillTint="33"/>
            <w:noWrap/>
            <w:vAlign w:val="center"/>
            <w:hideMark/>
          </w:tcPr>
          <w:p w14:paraId="7296EB2C" w14:textId="77777777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b/>
                <w:sz w:val="18"/>
                <w:szCs w:val="18"/>
                <w:lang w:val="en-GB"/>
              </w:rPr>
              <w:t>50 test samples</w:t>
            </w:r>
          </w:p>
        </w:tc>
      </w:tr>
      <w:tr w:rsidR="00B16C16" w:rsidRPr="00B16C16" w14:paraId="3B9F6783" w14:textId="77777777" w:rsidTr="00B16C16">
        <w:trPr>
          <w:trHeight w:val="300"/>
        </w:trPr>
        <w:tc>
          <w:tcPr>
            <w:tcW w:w="1906" w:type="dxa"/>
            <w:vMerge/>
            <w:shd w:val="clear" w:color="auto" w:fill="E7EBEE" w:themeFill="accent3" w:themeFillTint="33"/>
            <w:noWrap/>
            <w:vAlign w:val="center"/>
            <w:hideMark/>
          </w:tcPr>
          <w:p w14:paraId="0E36726F" w14:textId="67AF63FB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  <w:bottom w:val="nil"/>
            </w:tcBorders>
            <w:shd w:val="clear" w:color="auto" w:fill="E7EBEE" w:themeFill="accent3" w:themeFillTint="33"/>
            <w:noWrap/>
            <w:vAlign w:val="center"/>
            <w:hideMark/>
          </w:tcPr>
          <w:p w14:paraId="59D0D59A" w14:textId="4F4D595E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5 ZIKV NAT(+)/IgM(-)/IgG(-); 2 DENV IgG(-)</w:t>
            </w:r>
          </w:p>
        </w:tc>
      </w:tr>
      <w:tr w:rsidR="00B16C16" w:rsidRPr="00B16C16" w14:paraId="11E13084" w14:textId="77777777" w:rsidTr="00B16C16">
        <w:trPr>
          <w:trHeight w:val="300"/>
        </w:trPr>
        <w:tc>
          <w:tcPr>
            <w:tcW w:w="1906" w:type="dxa"/>
            <w:vMerge/>
            <w:shd w:val="clear" w:color="auto" w:fill="E7EBEE" w:themeFill="accent3" w:themeFillTint="33"/>
            <w:noWrap/>
            <w:vAlign w:val="center"/>
            <w:hideMark/>
          </w:tcPr>
          <w:p w14:paraId="6D52DC03" w14:textId="56FA042A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  <w:bottom w:val="nil"/>
            </w:tcBorders>
            <w:shd w:val="clear" w:color="auto" w:fill="E7EBEE" w:themeFill="accent3" w:themeFillTint="33"/>
            <w:noWrap/>
            <w:vAlign w:val="center"/>
            <w:hideMark/>
          </w:tcPr>
          <w:p w14:paraId="1ECF4D9D" w14:textId="656A4775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20 ZIKV IgM(+), IgG(-); 5 DENV IgG(-)</w:t>
            </w:r>
          </w:p>
        </w:tc>
      </w:tr>
      <w:tr w:rsidR="00B16C16" w:rsidRPr="00B16C16" w14:paraId="34DE0D0D" w14:textId="77777777" w:rsidTr="00B16C16">
        <w:trPr>
          <w:trHeight w:val="300"/>
        </w:trPr>
        <w:tc>
          <w:tcPr>
            <w:tcW w:w="1906" w:type="dxa"/>
            <w:vMerge/>
            <w:shd w:val="clear" w:color="auto" w:fill="E7EBEE" w:themeFill="accent3" w:themeFillTint="33"/>
            <w:noWrap/>
            <w:vAlign w:val="center"/>
            <w:hideMark/>
          </w:tcPr>
          <w:p w14:paraId="070EFF70" w14:textId="466435EA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  <w:bottom w:val="nil"/>
            </w:tcBorders>
            <w:shd w:val="clear" w:color="auto" w:fill="E7EBEE" w:themeFill="accent3" w:themeFillTint="33"/>
            <w:noWrap/>
            <w:vAlign w:val="center"/>
            <w:hideMark/>
          </w:tcPr>
          <w:p w14:paraId="656A2A1A" w14:textId="39444B51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20 ZIKV IgM(+), IgG(+); 5 DENV IgG(-)</w:t>
            </w:r>
          </w:p>
        </w:tc>
      </w:tr>
      <w:tr w:rsidR="00B16C16" w:rsidRPr="00B16C16" w14:paraId="507C79DC" w14:textId="77777777" w:rsidTr="00B16C16">
        <w:trPr>
          <w:trHeight w:val="300"/>
        </w:trPr>
        <w:tc>
          <w:tcPr>
            <w:tcW w:w="1906" w:type="dxa"/>
            <w:vMerge/>
            <w:shd w:val="clear" w:color="auto" w:fill="E7EBEE" w:themeFill="accent3" w:themeFillTint="33"/>
            <w:noWrap/>
            <w:vAlign w:val="center"/>
            <w:hideMark/>
          </w:tcPr>
          <w:p w14:paraId="45A76AE3" w14:textId="7B919EA2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  <w:bottom w:val="single" w:sz="4" w:space="0" w:color="auto"/>
            </w:tcBorders>
            <w:shd w:val="clear" w:color="auto" w:fill="E7EBEE" w:themeFill="accent3" w:themeFillTint="33"/>
            <w:noWrap/>
            <w:vAlign w:val="center"/>
            <w:hideMark/>
          </w:tcPr>
          <w:p w14:paraId="42BC6506" w14:textId="0C0A26EA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5 arbovirus negative from non-endemic areas</w:t>
            </w:r>
          </w:p>
        </w:tc>
      </w:tr>
      <w:tr w:rsidR="00B16C16" w:rsidRPr="00B16C16" w14:paraId="093350A1" w14:textId="77777777" w:rsidTr="00B16C16">
        <w:trPr>
          <w:trHeight w:val="300"/>
        </w:trPr>
        <w:tc>
          <w:tcPr>
            <w:tcW w:w="1906" w:type="dxa"/>
            <w:vMerge w:val="restart"/>
            <w:noWrap/>
            <w:vAlign w:val="center"/>
            <w:hideMark/>
          </w:tcPr>
          <w:p w14:paraId="591C811E" w14:textId="77777777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IgG qualification </w:t>
            </w:r>
          </w:p>
          <w:p w14:paraId="525BCF3A" w14:textId="3592458C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7210" w:type="dxa"/>
            <w:tcBorders>
              <w:bottom w:val="nil"/>
            </w:tcBorders>
            <w:noWrap/>
            <w:vAlign w:val="center"/>
            <w:hideMark/>
          </w:tcPr>
          <w:p w14:paraId="2729C9E6" w14:textId="77777777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b/>
                <w:sz w:val="18"/>
                <w:szCs w:val="18"/>
                <w:lang w:val="en-GB"/>
              </w:rPr>
              <w:t>50 test samples</w:t>
            </w:r>
          </w:p>
        </w:tc>
      </w:tr>
      <w:tr w:rsidR="00B16C16" w:rsidRPr="00B16C16" w14:paraId="12F7B3F6" w14:textId="77777777" w:rsidTr="00B16C16">
        <w:trPr>
          <w:trHeight w:val="300"/>
        </w:trPr>
        <w:tc>
          <w:tcPr>
            <w:tcW w:w="1906" w:type="dxa"/>
            <w:vMerge/>
            <w:noWrap/>
            <w:vAlign w:val="center"/>
            <w:hideMark/>
          </w:tcPr>
          <w:p w14:paraId="10A8DC53" w14:textId="67378CAC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191998" w14:textId="7C83933B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5 ZIKV NAT(+)/IgM(-)/IgG(-); 2 DENV IgG(-)</w:t>
            </w:r>
          </w:p>
        </w:tc>
      </w:tr>
      <w:tr w:rsidR="00B16C16" w:rsidRPr="00B16C16" w14:paraId="2143BC38" w14:textId="77777777" w:rsidTr="00B16C16">
        <w:trPr>
          <w:trHeight w:val="300"/>
        </w:trPr>
        <w:tc>
          <w:tcPr>
            <w:tcW w:w="1906" w:type="dxa"/>
            <w:vMerge/>
            <w:noWrap/>
            <w:vAlign w:val="center"/>
            <w:hideMark/>
          </w:tcPr>
          <w:p w14:paraId="43BFB2BE" w14:textId="7876443F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38FCB7" w14:textId="5EB42F6D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40 ZIKV IgM(+), IgG(+); 5 DENV IgG(-)</w:t>
            </w:r>
          </w:p>
        </w:tc>
      </w:tr>
      <w:tr w:rsidR="00B16C16" w:rsidRPr="00B16C16" w14:paraId="5D75FB62" w14:textId="77777777" w:rsidTr="00B16C16">
        <w:trPr>
          <w:trHeight w:val="300"/>
        </w:trPr>
        <w:tc>
          <w:tcPr>
            <w:tcW w:w="1906" w:type="dxa"/>
            <w:vMerge/>
            <w:noWrap/>
            <w:vAlign w:val="center"/>
            <w:hideMark/>
          </w:tcPr>
          <w:p w14:paraId="3E986B9D" w14:textId="561C7B3C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8653382" w14:textId="418C3F24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5 arbovirus negative from non-endemic areas</w:t>
            </w:r>
          </w:p>
        </w:tc>
      </w:tr>
      <w:tr w:rsidR="00B16C16" w:rsidRPr="00B16C16" w14:paraId="3C4C2E94" w14:textId="77777777" w:rsidTr="00B16C16">
        <w:trPr>
          <w:trHeight w:val="300"/>
        </w:trPr>
        <w:tc>
          <w:tcPr>
            <w:tcW w:w="1906" w:type="dxa"/>
            <w:vMerge w:val="restart"/>
            <w:shd w:val="clear" w:color="auto" w:fill="E7EBEE" w:themeFill="accent3" w:themeFillTint="33"/>
            <w:noWrap/>
            <w:vAlign w:val="center"/>
            <w:hideMark/>
          </w:tcPr>
          <w:p w14:paraId="098DCC2B" w14:textId="77777777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Serology Evaluation</w:t>
            </w:r>
          </w:p>
          <w:p w14:paraId="1FDE4A3E" w14:textId="77777777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  <w:p w14:paraId="1239D3DE" w14:textId="2DD2DDFA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7210" w:type="dxa"/>
            <w:tcBorders>
              <w:bottom w:val="nil"/>
            </w:tcBorders>
            <w:shd w:val="clear" w:color="auto" w:fill="E7EBEE" w:themeFill="accent3" w:themeFillTint="33"/>
            <w:noWrap/>
            <w:vAlign w:val="center"/>
            <w:hideMark/>
          </w:tcPr>
          <w:p w14:paraId="4F81A964" w14:textId="77777777" w:rsidR="00B16C16" w:rsidRPr="00CD44C3" w:rsidRDefault="00B16C16" w:rsidP="00B16C1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D44C3">
              <w:rPr>
                <w:rFonts w:ascii="Arial" w:hAnsi="Arial" w:cs="Arial"/>
                <w:b/>
                <w:sz w:val="18"/>
                <w:szCs w:val="18"/>
                <w:lang w:val="en-GB"/>
              </w:rPr>
              <w:t>100 test samples</w:t>
            </w:r>
          </w:p>
        </w:tc>
      </w:tr>
      <w:tr w:rsidR="00B16C16" w:rsidRPr="00B16C16" w14:paraId="30405960" w14:textId="77777777" w:rsidTr="00B16C16">
        <w:trPr>
          <w:trHeight w:val="300"/>
        </w:trPr>
        <w:tc>
          <w:tcPr>
            <w:tcW w:w="1906" w:type="dxa"/>
            <w:vMerge/>
            <w:shd w:val="clear" w:color="auto" w:fill="E7EBEE" w:themeFill="accent3" w:themeFillTint="33"/>
            <w:noWrap/>
            <w:vAlign w:val="center"/>
            <w:hideMark/>
          </w:tcPr>
          <w:p w14:paraId="51A3C805" w14:textId="3164F813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  <w:bottom w:val="nil"/>
            </w:tcBorders>
            <w:shd w:val="clear" w:color="auto" w:fill="E7EBEE" w:themeFill="accent3" w:themeFillTint="33"/>
            <w:noWrap/>
            <w:vAlign w:val="center"/>
            <w:hideMark/>
          </w:tcPr>
          <w:p w14:paraId="133D4302" w14:textId="3C5F1A0D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10 sets longitudinal samples from acute ZIKV(+) infection through seroconversion</w:t>
            </w:r>
          </w:p>
        </w:tc>
      </w:tr>
      <w:tr w:rsidR="00B16C16" w:rsidRPr="00B16C16" w14:paraId="3B10A57F" w14:textId="77777777" w:rsidTr="00B16C16">
        <w:trPr>
          <w:trHeight w:val="300"/>
        </w:trPr>
        <w:tc>
          <w:tcPr>
            <w:tcW w:w="1906" w:type="dxa"/>
            <w:vMerge/>
            <w:shd w:val="clear" w:color="auto" w:fill="E7EBEE" w:themeFill="accent3" w:themeFillTint="33"/>
            <w:noWrap/>
            <w:vAlign w:val="center"/>
            <w:hideMark/>
          </w:tcPr>
          <w:p w14:paraId="2FB193D0" w14:textId="5C9C0597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  <w:bottom w:val="nil"/>
            </w:tcBorders>
            <w:shd w:val="clear" w:color="auto" w:fill="E7EBEE" w:themeFill="accent3" w:themeFillTint="33"/>
            <w:noWrap/>
            <w:vAlign w:val="center"/>
            <w:hideMark/>
          </w:tcPr>
          <w:p w14:paraId="4A806788" w14:textId="277733A0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   5 sets DENV IgG(+)</w:t>
            </w:r>
          </w:p>
        </w:tc>
      </w:tr>
      <w:tr w:rsidR="00B16C16" w:rsidRPr="00B16C16" w14:paraId="585390CD" w14:textId="77777777" w:rsidTr="00B16C16">
        <w:trPr>
          <w:trHeight w:val="300"/>
        </w:trPr>
        <w:tc>
          <w:tcPr>
            <w:tcW w:w="1906" w:type="dxa"/>
            <w:vMerge/>
            <w:shd w:val="clear" w:color="auto" w:fill="E7EBEE" w:themeFill="accent3" w:themeFillTint="33"/>
            <w:noWrap/>
            <w:vAlign w:val="center"/>
            <w:hideMark/>
          </w:tcPr>
          <w:p w14:paraId="08A9D1DB" w14:textId="18369E35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  <w:bottom w:val="nil"/>
            </w:tcBorders>
            <w:shd w:val="clear" w:color="auto" w:fill="E7EBEE" w:themeFill="accent3" w:themeFillTint="33"/>
            <w:noWrap/>
            <w:vAlign w:val="center"/>
            <w:hideMark/>
          </w:tcPr>
          <w:p w14:paraId="75E4746E" w14:textId="23043EDE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   5 sets DENV naïve</w:t>
            </w:r>
          </w:p>
        </w:tc>
      </w:tr>
      <w:tr w:rsidR="00B16C16" w:rsidRPr="00B16C16" w14:paraId="17FEC6A3" w14:textId="77777777" w:rsidTr="00B16C16">
        <w:trPr>
          <w:trHeight w:val="300"/>
        </w:trPr>
        <w:tc>
          <w:tcPr>
            <w:tcW w:w="1906" w:type="dxa"/>
            <w:vMerge/>
            <w:shd w:val="clear" w:color="auto" w:fill="E7EBEE" w:themeFill="accent3" w:themeFillTint="33"/>
            <w:noWrap/>
            <w:vAlign w:val="center"/>
            <w:hideMark/>
          </w:tcPr>
          <w:p w14:paraId="18E6F798" w14:textId="70486AE1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  <w:bottom w:val="nil"/>
            </w:tcBorders>
            <w:shd w:val="clear" w:color="auto" w:fill="E7EBEE" w:themeFill="accent3" w:themeFillTint="33"/>
            <w:noWrap/>
            <w:vAlign w:val="center"/>
            <w:hideMark/>
          </w:tcPr>
          <w:p w14:paraId="6FB54401" w14:textId="74EC97E6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   5 sets from ZIKV(+) post ZIKV IgM seroconversion</w:t>
            </w:r>
          </w:p>
        </w:tc>
      </w:tr>
      <w:tr w:rsidR="00B16C16" w:rsidRPr="00B16C16" w14:paraId="5B66DC63" w14:textId="77777777" w:rsidTr="00B16C16">
        <w:trPr>
          <w:trHeight w:val="300"/>
        </w:trPr>
        <w:tc>
          <w:tcPr>
            <w:tcW w:w="1906" w:type="dxa"/>
            <w:vMerge/>
            <w:shd w:val="clear" w:color="auto" w:fill="E7EBEE" w:themeFill="accent3" w:themeFillTint="33"/>
            <w:noWrap/>
            <w:vAlign w:val="center"/>
            <w:hideMark/>
          </w:tcPr>
          <w:p w14:paraId="241720D3" w14:textId="48515107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  <w:bottom w:val="nil"/>
            </w:tcBorders>
            <w:shd w:val="clear" w:color="auto" w:fill="E7EBEE" w:themeFill="accent3" w:themeFillTint="33"/>
            <w:noWrap/>
            <w:vAlign w:val="center"/>
            <w:hideMark/>
          </w:tcPr>
          <w:p w14:paraId="26530EAD" w14:textId="338C36CF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2 sets longitudinal from DENV IgG(+) donors</w:t>
            </w:r>
          </w:p>
        </w:tc>
      </w:tr>
      <w:tr w:rsidR="00B16C16" w:rsidRPr="00B16C16" w14:paraId="1377CA3B" w14:textId="77777777" w:rsidTr="00B16C16">
        <w:trPr>
          <w:trHeight w:val="300"/>
        </w:trPr>
        <w:tc>
          <w:tcPr>
            <w:tcW w:w="1906" w:type="dxa"/>
            <w:vMerge/>
            <w:shd w:val="clear" w:color="auto" w:fill="E7EBEE" w:themeFill="accent3" w:themeFillTint="33"/>
            <w:noWrap/>
            <w:vAlign w:val="center"/>
            <w:hideMark/>
          </w:tcPr>
          <w:p w14:paraId="14219E21" w14:textId="6DD810FD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  <w:bottom w:val="nil"/>
            </w:tcBorders>
            <w:shd w:val="clear" w:color="auto" w:fill="E7EBEE" w:themeFill="accent3" w:themeFillTint="33"/>
            <w:noWrap/>
            <w:vAlign w:val="center"/>
            <w:hideMark/>
          </w:tcPr>
          <w:p w14:paraId="68BC1B7F" w14:textId="251F7E8A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3 sets longitudinal from DENV naïve, exposed donors</w:t>
            </w:r>
          </w:p>
        </w:tc>
      </w:tr>
      <w:tr w:rsidR="00B16C16" w:rsidRPr="00B16C16" w14:paraId="274A94F8" w14:textId="77777777" w:rsidTr="00B16C16">
        <w:trPr>
          <w:trHeight w:val="300"/>
        </w:trPr>
        <w:tc>
          <w:tcPr>
            <w:tcW w:w="1906" w:type="dxa"/>
            <w:vMerge/>
            <w:shd w:val="clear" w:color="auto" w:fill="E7EBEE" w:themeFill="accent3" w:themeFillTint="33"/>
            <w:noWrap/>
            <w:vAlign w:val="center"/>
            <w:hideMark/>
          </w:tcPr>
          <w:p w14:paraId="7595ECE8" w14:textId="3606CD08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  <w:bottom w:val="nil"/>
            </w:tcBorders>
            <w:shd w:val="clear" w:color="auto" w:fill="E7EBEE" w:themeFill="accent3" w:themeFillTint="33"/>
            <w:noWrap/>
            <w:vAlign w:val="center"/>
            <w:hideMark/>
          </w:tcPr>
          <w:p w14:paraId="13AE7852" w14:textId="67644A0D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10 sets acute and remote DENV infection</w:t>
            </w:r>
          </w:p>
        </w:tc>
      </w:tr>
      <w:tr w:rsidR="00B16C16" w:rsidRPr="00B16C16" w14:paraId="091A0532" w14:textId="77777777" w:rsidTr="00B16C16">
        <w:trPr>
          <w:trHeight w:val="300"/>
        </w:trPr>
        <w:tc>
          <w:tcPr>
            <w:tcW w:w="1906" w:type="dxa"/>
            <w:vMerge/>
            <w:shd w:val="clear" w:color="auto" w:fill="E7EBEE" w:themeFill="accent3" w:themeFillTint="33"/>
            <w:noWrap/>
            <w:vAlign w:val="center"/>
            <w:hideMark/>
          </w:tcPr>
          <w:p w14:paraId="7341A3E4" w14:textId="2CCACC94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  <w:bottom w:val="nil"/>
            </w:tcBorders>
            <w:shd w:val="clear" w:color="auto" w:fill="E7EBEE" w:themeFill="accent3" w:themeFillTint="33"/>
            <w:noWrap/>
            <w:vAlign w:val="center"/>
            <w:hideMark/>
          </w:tcPr>
          <w:p w14:paraId="38394BB4" w14:textId="1097D713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 5 sets WNV exposed donors</w:t>
            </w:r>
          </w:p>
        </w:tc>
      </w:tr>
      <w:tr w:rsidR="00B16C16" w:rsidRPr="00B16C16" w14:paraId="6EB02B78" w14:textId="77777777" w:rsidTr="00B16C16">
        <w:trPr>
          <w:trHeight w:val="300"/>
        </w:trPr>
        <w:tc>
          <w:tcPr>
            <w:tcW w:w="1906" w:type="dxa"/>
            <w:vMerge/>
            <w:shd w:val="clear" w:color="auto" w:fill="E7EBEE" w:themeFill="accent3" w:themeFillTint="33"/>
            <w:noWrap/>
            <w:vAlign w:val="center"/>
            <w:hideMark/>
          </w:tcPr>
          <w:p w14:paraId="4646099C" w14:textId="68D657E6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  <w:bottom w:val="nil"/>
            </w:tcBorders>
            <w:shd w:val="clear" w:color="auto" w:fill="E7EBEE" w:themeFill="accent3" w:themeFillTint="33"/>
            <w:noWrap/>
            <w:vAlign w:val="center"/>
            <w:hideMark/>
          </w:tcPr>
          <w:p w14:paraId="07EB733A" w14:textId="079B7195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10 arbovirus negative controls, non-endemic areas</w:t>
            </w:r>
          </w:p>
        </w:tc>
      </w:tr>
      <w:tr w:rsidR="00B16C16" w:rsidRPr="00B16C16" w14:paraId="12BE0515" w14:textId="77777777" w:rsidTr="00B16C16">
        <w:trPr>
          <w:trHeight w:val="300"/>
        </w:trPr>
        <w:tc>
          <w:tcPr>
            <w:tcW w:w="1906" w:type="dxa"/>
            <w:vMerge/>
            <w:shd w:val="clear" w:color="auto" w:fill="E7EBEE" w:themeFill="accent3" w:themeFillTint="33"/>
            <w:noWrap/>
            <w:vAlign w:val="center"/>
            <w:hideMark/>
          </w:tcPr>
          <w:p w14:paraId="77808BA8" w14:textId="3B7F2356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210" w:type="dxa"/>
            <w:tcBorders>
              <w:top w:val="nil"/>
            </w:tcBorders>
            <w:shd w:val="clear" w:color="auto" w:fill="E7EBEE" w:themeFill="accent3" w:themeFillTint="33"/>
            <w:noWrap/>
            <w:vAlign w:val="center"/>
            <w:hideMark/>
          </w:tcPr>
          <w:p w14:paraId="197AAFFC" w14:textId="357A034F" w:rsidR="00B16C16" w:rsidRPr="00B16C16" w:rsidRDefault="00B16C16" w:rsidP="00B16C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10 arbovirus negative controls, arbovirus endemic areas</w:t>
            </w:r>
          </w:p>
        </w:tc>
      </w:tr>
    </w:tbl>
    <w:p w14:paraId="5F3B7571" w14:textId="2102AB4B" w:rsidR="00B16C16" w:rsidRPr="00315DC7" w:rsidRDefault="00B16C16" w:rsidP="005F3B53">
      <w:pPr>
        <w:spacing w:after="0" w:line="240" w:lineRule="auto"/>
        <w:rPr>
          <w:sz w:val="18"/>
          <w:lang w:val="en-US"/>
        </w:rPr>
      </w:pPr>
      <w:r>
        <w:rPr>
          <w:sz w:val="18"/>
          <w:lang w:val="en-US"/>
        </w:rPr>
        <w:t>* Note: composition b</w:t>
      </w:r>
      <w:bookmarkStart w:id="0" w:name="_GoBack"/>
      <w:bookmarkEnd w:id="0"/>
      <w:r>
        <w:rPr>
          <w:sz w:val="18"/>
          <w:lang w:val="en-US"/>
        </w:rPr>
        <w:t xml:space="preserve">ased on currently available samples at </w:t>
      </w:r>
      <w:proofErr w:type="spellStart"/>
      <w:r>
        <w:rPr>
          <w:sz w:val="18"/>
          <w:lang w:val="en-US"/>
        </w:rPr>
        <w:t>Vitalant</w:t>
      </w:r>
      <w:proofErr w:type="spellEnd"/>
      <w:r>
        <w:rPr>
          <w:sz w:val="18"/>
          <w:lang w:val="en-US"/>
        </w:rPr>
        <w:t xml:space="preserve"> Research Institute and are subject to change. </w:t>
      </w:r>
    </w:p>
    <w:sectPr w:rsidR="00B16C16" w:rsidRPr="00315DC7" w:rsidSect="00E42A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8A1D46" w16cid:durableId="202FB5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B3D69" w14:textId="77777777" w:rsidR="00BE4444" w:rsidRDefault="00BE4444" w:rsidP="00071250">
      <w:pPr>
        <w:spacing w:after="0" w:line="240" w:lineRule="auto"/>
      </w:pPr>
      <w:r>
        <w:separator/>
      </w:r>
    </w:p>
  </w:endnote>
  <w:endnote w:type="continuationSeparator" w:id="0">
    <w:p w14:paraId="4CB72A47" w14:textId="77777777" w:rsidR="00BE4444" w:rsidRDefault="00BE4444" w:rsidP="0007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A25E4" w14:textId="08F66735" w:rsidR="00BE4444" w:rsidRDefault="00A31F49">
    <w:pPr>
      <w:pStyle w:val="Footer"/>
    </w:pPr>
    <w:r>
      <w:t xml:space="preserve">Version </w:t>
    </w:r>
    <w:r w:rsidR="000A5DF4">
      <w:t>19</w:t>
    </w:r>
    <w:r w:rsidR="0054294F">
      <w:t xml:space="preserve"> Jul</w:t>
    </w:r>
    <w:r w:rsidR="003C3D96">
      <w:t xml:space="preserve"> 2019</w:t>
    </w:r>
    <w:r w:rsidR="00BE4444">
      <w:ptab w:relativeTo="margin" w:alignment="center" w:leader="none"/>
    </w:r>
    <w:r w:rsidR="00BE4444">
      <w:ptab w:relativeTo="margin" w:alignment="right" w:leader="none"/>
    </w:r>
    <w:r w:rsidR="00BE4444">
      <w:t xml:space="preserve">Page </w:t>
    </w:r>
    <w:r w:rsidR="00BE4444">
      <w:rPr>
        <w:b/>
        <w:bCs/>
      </w:rPr>
      <w:fldChar w:fldCharType="begin"/>
    </w:r>
    <w:r w:rsidR="00BE4444">
      <w:rPr>
        <w:b/>
        <w:bCs/>
      </w:rPr>
      <w:instrText xml:space="preserve"> PAGE  \* Arabic  \* MERGEFORMAT </w:instrText>
    </w:r>
    <w:r w:rsidR="00BE4444">
      <w:rPr>
        <w:b/>
        <w:bCs/>
      </w:rPr>
      <w:fldChar w:fldCharType="separate"/>
    </w:r>
    <w:r w:rsidR="008C1D89">
      <w:rPr>
        <w:b/>
        <w:bCs/>
        <w:noProof/>
      </w:rPr>
      <w:t>6</w:t>
    </w:r>
    <w:r w:rsidR="00BE4444">
      <w:rPr>
        <w:b/>
        <w:bCs/>
      </w:rPr>
      <w:fldChar w:fldCharType="end"/>
    </w:r>
    <w:r w:rsidR="00BE4444">
      <w:t xml:space="preserve"> of </w:t>
    </w:r>
    <w:r w:rsidR="00BE4444">
      <w:rPr>
        <w:b/>
        <w:bCs/>
      </w:rPr>
      <w:fldChar w:fldCharType="begin"/>
    </w:r>
    <w:r w:rsidR="00BE4444">
      <w:rPr>
        <w:b/>
        <w:bCs/>
      </w:rPr>
      <w:instrText xml:space="preserve"> NUMPAGES  \* Arabic  \* MERGEFORMAT </w:instrText>
    </w:r>
    <w:r w:rsidR="00BE4444">
      <w:rPr>
        <w:b/>
        <w:bCs/>
      </w:rPr>
      <w:fldChar w:fldCharType="separate"/>
    </w:r>
    <w:r w:rsidR="008C1D89">
      <w:rPr>
        <w:b/>
        <w:bCs/>
        <w:noProof/>
      </w:rPr>
      <w:t>6</w:t>
    </w:r>
    <w:r w:rsidR="00BE444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D52F2" w14:textId="77777777" w:rsidR="00BE4444" w:rsidRDefault="00BE4444" w:rsidP="00071250">
      <w:pPr>
        <w:spacing w:after="0" w:line="240" w:lineRule="auto"/>
      </w:pPr>
      <w:r>
        <w:separator/>
      </w:r>
    </w:p>
  </w:footnote>
  <w:footnote w:type="continuationSeparator" w:id="0">
    <w:p w14:paraId="1C69C6D9" w14:textId="77777777" w:rsidR="00BE4444" w:rsidRDefault="00BE4444" w:rsidP="0007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D5B46" w14:textId="77777777" w:rsidR="00BE4444" w:rsidRDefault="00BE4444">
    <w:pPr>
      <w:pStyle w:val="Header"/>
    </w:pPr>
    <w:r w:rsidRPr="00365BF8">
      <w:rPr>
        <w:noProof/>
        <w:lang w:eastAsia="en-GB"/>
      </w:rPr>
      <w:drawing>
        <wp:inline distT="0" distB="0" distL="0" distR="0" wp14:anchorId="6CFB853B" wp14:editId="08330AE5">
          <wp:extent cx="1563833" cy="320040"/>
          <wp:effectExtent l="0" t="0" r="0" b="3810"/>
          <wp:docPr id="2" name="Picture 2" descr="\\intranet.finddx.org@SSL\DavWWWRoot\Document Center\FIND Geneva\Communications\Public\07_BRAND IDENTITY\FIND Logos\JPG_Colour\FIND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ntranet.finddx.org@SSL\DavWWWRoot\Document Center\FIND Geneva\Communications\Public\07_BRAND IDENTITY\FIND Logos\JPG_Colour\FIND_Horizonta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833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D192C" w14:textId="77777777" w:rsidR="00C76D9A" w:rsidRDefault="00C76D9A">
    <w:pPr>
      <w:pStyle w:val="Header"/>
    </w:pPr>
  </w:p>
  <w:p w14:paraId="541B71B1" w14:textId="77777777" w:rsidR="00C76D9A" w:rsidRDefault="00C76D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5D22"/>
    <w:multiLevelType w:val="hybridMultilevel"/>
    <w:tmpl w:val="471C4FC6"/>
    <w:lvl w:ilvl="0" w:tplc="A49A1E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314"/>
    <w:multiLevelType w:val="hybridMultilevel"/>
    <w:tmpl w:val="F08E07F2"/>
    <w:lvl w:ilvl="0" w:tplc="A49A1E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A520B"/>
    <w:multiLevelType w:val="hybridMultilevel"/>
    <w:tmpl w:val="62C22D82"/>
    <w:lvl w:ilvl="0" w:tplc="F2880E2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E12A25"/>
    <w:multiLevelType w:val="hybridMultilevel"/>
    <w:tmpl w:val="6DBAFD48"/>
    <w:lvl w:ilvl="0" w:tplc="8460C9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B50CA"/>
    <w:multiLevelType w:val="hybridMultilevel"/>
    <w:tmpl w:val="55A8A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D3213"/>
    <w:multiLevelType w:val="hybridMultilevel"/>
    <w:tmpl w:val="74928BFC"/>
    <w:lvl w:ilvl="0" w:tplc="8460C96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A86FB46-096A-41B5-B416-7C0F8F32D112}"/>
    <w:docVar w:name="dgnword-eventsink" w:val="410315528"/>
  </w:docVars>
  <w:rsids>
    <w:rsidRoot w:val="00F0532C"/>
    <w:rsid w:val="00023403"/>
    <w:rsid w:val="00032E12"/>
    <w:rsid w:val="00065F3A"/>
    <w:rsid w:val="00067C50"/>
    <w:rsid w:val="00071250"/>
    <w:rsid w:val="000A5DF4"/>
    <w:rsid w:val="000B49AF"/>
    <w:rsid w:val="000F36D5"/>
    <w:rsid w:val="00107BBC"/>
    <w:rsid w:val="00135BBE"/>
    <w:rsid w:val="00141678"/>
    <w:rsid w:val="0019417D"/>
    <w:rsid w:val="001D2FCE"/>
    <w:rsid w:val="001E3128"/>
    <w:rsid w:val="001E63F5"/>
    <w:rsid w:val="001F49A7"/>
    <w:rsid w:val="002004D1"/>
    <w:rsid w:val="0027569E"/>
    <w:rsid w:val="002B1347"/>
    <w:rsid w:val="002B77C0"/>
    <w:rsid w:val="002D1199"/>
    <w:rsid w:val="002F02D4"/>
    <w:rsid w:val="002F2C4E"/>
    <w:rsid w:val="00315DC7"/>
    <w:rsid w:val="00323E28"/>
    <w:rsid w:val="003B0979"/>
    <w:rsid w:val="003C3D96"/>
    <w:rsid w:val="003D4EA8"/>
    <w:rsid w:val="00405448"/>
    <w:rsid w:val="0045036C"/>
    <w:rsid w:val="00471A78"/>
    <w:rsid w:val="00484313"/>
    <w:rsid w:val="00487D44"/>
    <w:rsid w:val="004A75FA"/>
    <w:rsid w:val="004D062A"/>
    <w:rsid w:val="004D273B"/>
    <w:rsid w:val="004E6D0A"/>
    <w:rsid w:val="00513823"/>
    <w:rsid w:val="005404FF"/>
    <w:rsid w:val="005418AA"/>
    <w:rsid w:val="0054294F"/>
    <w:rsid w:val="005C7E67"/>
    <w:rsid w:val="005F3B53"/>
    <w:rsid w:val="005F6409"/>
    <w:rsid w:val="00645ADD"/>
    <w:rsid w:val="00660816"/>
    <w:rsid w:val="00663AB0"/>
    <w:rsid w:val="00677988"/>
    <w:rsid w:val="00691D96"/>
    <w:rsid w:val="006A4B02"/>
    <w:rsid w:val="006B0170"/>
    <w:rsid w:val="006B1306"/>
    <w:rsid w:val="006B4197"/>
    <w:rsid w:val="006C14AD"/>
    <w:rsid w:val="006D482D"/>
    <w:rsid w:val="00714869"/>
    <w:rsid w:val="007A41DA"/>
    <w:rsid w:val="007D2759"/>
    <w:rsid w:val="007D653E"/>
    <w:rsid w:val="007E24C8"/>
    <w:rsid w:val="00821394"/>
    <w:rsid w:val="00837667"/>
    <w:rsid w:val="008631F1"/>
    <w:rsid w:val="00896C94"/>
    <w:rsid w:val="008B232D"/>
    <w:rsid w:val="008C1D89"/>
    <w:rsid w:val="008C5C2A"/>
    <w:rsid w:val="00913FC8"/>
    <w:rsid w:val="0092095A"/>
    <w:rsid w:val="00926630"/>
    <w:rsid w:val="0095176E"/>
    <w:rsid w:val="0095508E"/>
    <w:rsid w:val="009B101B"/>
    <w:rsid w:val="009D430C"/>
    <w:rsid w:val="00A00315"/>
    <w:rsid w:val="00A31F49"/>
    <w:rsid w:val="00A50103"/>
    <w:rsid w:val="00A8164F"/>
    <w:rsid w:val="00A83D5E"/>
    <w:rsid w:val="00A92624"/>
    <w:rsid w:val="00AA358A"/>
    <w:rsid w:val="00AA748F"/>
    <w:rsid w:val="00AC7251"/>
    <w:rsid w:val="00AD4D41"/>
    <w:rsid w:val="00AD6DDB"/>
    <w:rsid w:val="00AE76E9"/>
    <w:rsid w:val="00AF61FE"/>
    <w:rsid w:val="00B16C16"/>
    <w:rsid w:val="00B91BFA"/>
    <w:rsid w:val="00B971A2"/>
    <w:rsid w:val="00BA413A"/>
    <w:rsid w:val="00BB0D92"/>
    <w:rsid w:val="00BE4444"/>
    <w:rsid w:val="00BF74E5"/>
    <w:rsid w:val="00C04BBC"/>
    <w:rsid w:val="00C240E3"/>
    <w:rsid w:val="00C2561C"/>
    <w:rsid w:val="00C51C86"/>
    <w:rsid w:val="00C52D0C"/>
    <w:rsid w:val="00C64027"/>
    <w:rsid w:val="00C76D9A"/>
    <w:rsid w:val="00C77AD6"/>
    <w:rsid w:val="00C82C18"/>
    <w:rsid w:val="00C9132A"/>
    <w:rsid w:val="00C9593D"/>
    <w:rsid w:val="00C97BDE"/>
    <w:rsid w:val="00CB466B"/>
    <w:rsid w:val="00CB5A86"/>
    <w:rsid w:val="00CD20DB"/>
    <w:rsid w:val="00CD44C3"/>
    <w:rsid w:val="00CE5608"/>
    <w:rsid w:val="00D11A68"/>
    <w:rsid w:val="00D513D0"/>
    <w:rsid w:val="00D52C85"/>
    <w:rsid w:val="00DB7276"/>
    <w:rsid w:val="00DD197A"/>
    <w:rsid w:val="00E117D7"/>
    <w:rsid w:val="00E11D46"/>
    <w:rsid w:val="00E334C9"/>
    <w:rsid w:val="00E42A96"/>
    <w:rsid w:val="00E644AD"/>
    <w:rsid w:val="00EB701D"/>
    <w:rsid w:val="00EC69A9"/>
    <w:rsid w:val="00ED5439"/>
    <w:rsid w:val="00ED67D8"/>
    <w:rsid w:val="00F0532C"/>
    <w:rsid w:val="00F26413"/>
    <w:rsid w:val="00F35C51"/>
    <w:rsid w:val="00F51976"/>
    <w:rsid w:val="00F80F4D"/>
    <w:rsid w:val="00FD249E"/>
    <w:rsid w:val="00FD5230"/>
    <w:rsid w:val="00FD5A8F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B3AF"/>
  <w15:chartTrackingRefBased/>
  <w15:docId w15:val="{2D8DD527-66BA-49D1-87C4-ED73BD89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5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B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250"/>
  </w:style>
  <w:style w:type="paragraph" w:styleId="Footer">
    <w:name w:val="footer"/>
    <w:basedOn w:val="Normal"/>
    <w:link w:val="FooterChar"/>
    <w:uiPriority w:val="99"/>
    <w:unhideWhenUsed/>
    <w:rsid w:val="00071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250"/>
  </w:style>
  <w:style w:type="table" w:styleId="TableGrid">
    <w:name w:val="Table Grid"/>
    <w:basedOn w:val="TableNormal"/>
    <w:uiPriority w:val="59"/>
    <w:rsid w:val="00913FC8"/>
    <w:pPr>
      <w:spacing w:after="200" w:line="276" w:lineRule="auto"/>
    </w:pPr>
    <w:rPr>
      <w:rFonts w:eastAsia="Times New Roman"/>
      <w:lang w:val="en-IN" w:eastAsia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">
    <w:name w:val="instruction"/>
    <w:basedOn w:val="Normal"/>
    <w:next w:val="Normal"/>
    <w:autoRedefine/>
    <w:uiPriority w:val="99"/>
    <w:qFormat/>
    <w:rsid w:val="00913FC8"/>
    <w:pPr>
      <w:widowControl w:val="0"/>
      <w:spacing w:after="200" w:line="276" w:lineRule="auto"/>
      <w:jc w:val="both"/>
    </w:pPr>
    <w:rPr>
      <w:rFonts w:eastAsia="Times New Roman" w:cs="Arial"/>
      <w:bCs/>
      <w:iCs/>
      <w:lang w:eastAsia="ja-JP"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3FC8"/>
  </w:style>
  <w:style w:type="paragraph" w:styleId="NoSpacing">
    <w:name w:val="No Spacing"/>
    <w:uiPriority w:val="1"/>
    <w:qFormat/>
    <w:rsid w:val="00913FC8"/>
    <w:pPr>
      <w:spacing w:after="0" w:line="240" w:lineRule="auto"/>
    </w:pPr>
    <w:rPr>
      <w:rFonts w:eastAsiaTheme="minorEastAsia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5F6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4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0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2A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y.emperador@finddx.org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ssandra.kelly@finddx.org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devy.emperador@finddx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IND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A2259"/>
      </a:accent1>
      <a:accent2>
        <a:srgbClr val="43ABB6"/>
      </a:accent2>
      <a:accent3>
        <a:srgbClr val="8C9EAB"/>
      </a:accent3>
      <a:accent4>
        <a:srgbClr val="CD4652"/>
      </a:accent4>
      <a:accent5>
        <a:srgbClr val="D3553F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90392F5457D4FB8DFF3C76C722EE8" ma:contentTypeVersion="4" ma:contentTypeDescription="Create a new document." ma:contentTypeScope="" ma:versionID="4b0034f2bcad660de7f4ccc32c8661c2">
  <xsd:schema xmlns:xsd="http://www.w3.org/2001/XMLSchema" xmlns:xs="http://www.w3.org/2001/XMLSchema" xmlns:p="http://schemas.microsoft.com/office/2006/metadata/properties" xmlns:ns2="bdd9093d-d497-4070-92ea-5faf0aa8685a" targetNamespace="http://schemas.microsoft.com/office/2006/metadata/properties" ma:root="true" ma:fieldsID="34fcf8ad56dda5f3e91e73d9f6eff87e" ns2:_="">
    <xsd:import namespace="bdd9093d-d497-4070-92ea-5faf0aa8685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093d-d497-4070-92ea-5faf0aa8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B6298B-58E0-4897-ACD5-AE987BAD30D2}"/>
</file>

<file path=customXml/itemProps2.xml><?xml version="1.0" encoding="utf-8"?>
<ds:datastoreItem xmlns:ds="http://schemas.openxmlformats.org/officeDocument/2006/customXml" ds:itemID="{E1EB3A57-4854-43F2-BC52-BF55415E0046}"/>
</file>

<file path=customXml/itemProps3.xml><?xml version="1.0" encoding="utf-8"?>
<ds:datastoreItem xmlns:ds="http://schemas.openxmlformats.org/officeDocument/2006/customXml" ds:itemID="{5DE09353-7EBC-4181-831B-CFD166E72A91}"/>
</file>

<file path=customXml/itemProps4.xml><?xml version="1.0" encoding="utf-8"?>
<ds:datastoreItem xmlns:ds="http://schemas.openxmlformats.org/officeDocument/2006/customXml" ds:itemID="{2E980855-5DE4-4EDA-A125-7861601A59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 Emperador</dc:creator>
  <cp:keywords/>
  <dc:description/>
  <cp:lastModifiedBy>Devy Emperador</cp:lastModifiedBy>
  <cp:revision>23</cp:revision>
  <cp:lastPrinted>2019-07-19T09:21:00Z</cp:lastPrinted>
  <dcterms:created xsi:type="dcterms:W3CDTF">2019-05-21T14:33:00Z</dcterms:created>
  <dcterms:modified xsi:type="dcterms:W3CDTF">2019-07-19T09:21:00Z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0x01010020390392F5457D4FB8DFF3C76C722EE8</vt:lpwstr>
  </property>
</Properties>
</file>