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B3AB4" w14:textId="5245F63F" w:rsidR="00590BEE" w:rsidRPr="00B302F2" w:rsidRDefault="0004771E" w:rsidP="0004771E">
      <w:pPr>
        <w:spacing w:after="0" w:line="240" w:lineRule="auto"/>
        <w:rPr>
          <w:b/>
          <w:color w:val="5A2259" w:themeColor="accent1"/>
          <w:sz w:val="32"/>
          <w:szCs w:val="32"/>
          <w:lang w:val="en-US"/>
        </w:rPr>
      </w:pPr>
      <w:r w:rsidRPr="00B302F2">
        <w:rPr>
          <w:b/>
          <w:color w:val="5A2259" w:themeColor="accent1"/>
          <w:sz w:val="32"/>
          <w:szCs w:val="32"/>
          <w:lang w:val="en-US"/>
        </w:rPr>
        <w:t xml:space="preserve">Call for </w:t>
      </w:r>
      <w:r w:rsidR="00527EC6">
        <w:rPr>
          <w:b/>
          <w:color w:val="5A2259" w:themeColor="accent1"/>
          <w:sz w:val="32"/>
          <w:szCs w:val="32"/>
          <w:lang w:val="en-US"/>
        </w:rPr>
        <w:t>Expressions of Interest (EOI) from t</w:t>
      </w:r>
      <w:r w:rsidRPr="00B302F2">
        <w:rPr>
          <w:b/>
          <w:color w:val="5A2259" w:themeColor="accent1"/>
          <w:sz w:val="32"/>
          <w:szCs w:val="32"/>
          <w:lang w:val="en-US"/>
        </w:rPr>
        <w:t>est developers:</w:t>
      </w:r>
      <w:r w:rsidR="00EE50FA" w:rsidRPr="00B302F2">
        <w:rPr>
          <w:b/>
          <w:color w:val="5A2259" w:themeColor="accent1"/>
          <w:sz w:val="32"/>
          <w:szCs w:val="32"/>
          <w:lang w:val="en-US"/>
        </w:rPr>
        <w:t xml:space="preserve"> Immunoassays for the detection of Lassa virus-specific antibodies </w:t>
      </w:r>
    </w:p>
    <w:p w14:paraId="6047C229" w14:textId="77777777" w:rsidR="0004771E" w:rsidRDefault="0004771E" w:rsidP="0004771E">
      <w:pPr>
        <w:spacing w:after="0" w:line="240" w:lineRule="auto"/>
      </w:pPr>
    </w:p>
    <w:p w14:paraId="3BF096A1" w14:textId="77777777" w:rsidR="00EE50FA" w:rsidRPr="00C40480" w:rsidRDefault="00C40480" w:rsidP="0004771E">
      <w:pPr>
        <w:spacing w:after="0" w:line="240" w:lineRule="auto"/>
        <w:rPr>
          <w:b/>
          <w:sz w:val="24"/>
          <w:szCs w:val="24"/>
        </w:rPr>
      </w:pPr>
      <w:r w:rsidRPr="00C40480">
        <w:rPr>
          <w:b/>
          <w:color w:val="43ABB6" w:themeColor="accent2"/>
          <w:sz w:val="24"/>
          <w:szCs w:val="24"/>
        </w:rPr>
        <w:t>BACKGROUND</w:t>
      </w:r>
    </w:p>
    <w:p w14:paraId="17CF825F" w14:textId="77777777" w:rsidR="00C40480" w:rsidRDefault="00C40480" w:rsidP="0004771E">
      <w:pPr>
        <w:spacing w:after="0" w:line="240" w:lineRule="auto"/>
      </w:pPr>
      <w:r>
        <w:t>FIND is a global non-profit organization dedicated to accelerating the development, evaluation, and delivery of high-quality, affordable diagnostic tests for poverty-related disease</w:t>
      </w:r>
      <w:r w:rsidR="00CD1733">
        <w:t>s. Recently, FIND received funding to support diagnostic preparedness for Lassa fever</w:t>
      </w:r>
      <w:r w:rsidR="007F02FB">
        <w:t xml:space="preserve"> virus (LASV)</w:t>
      </w:r>
      <w:r w:rsidR="00CD1733">
        <w:t xml:space="preserve">, a viral haemorrhagic fever </w:t>
      </w:r>
      <w:r w:rsidR="007F02FB">
        <w:t>affecting between 100,000 – 300,000 individuals throughout West Africa and a high-priority pathogen under the WHO R&amp;D Blueprint Initiative</w:t>
      </w:r>
      <w:r w:rsidR="00CD1733">
        <w:t xml:space="preserve">. With local and international partners, FIND is supporting diagnostic preparedness for </w:t>
      </w:r>
      <w:r w:rsidR="007F02FB">
        <w:t>LASV</w:t>
      </w:r>
      <w:r w:rsidR="00CD1733">
        <w:t xml:space="preserve"> through the development and evaluation of diagnostic tests fit-for-use in affected countries; laboratory capacity building to evaluate and implement new tests in the development pipeline; and establish</w:t>
      </w:r>
      <w:r w:rsidR="007F02FB">
        <w:t>ing</w:t>
      </w:r>
      <w:r w:rsidR="00CD1733">
        <w:t xml:space="preserve"> sample archives and standards to support future development. </w:t>
      </w:r>
    </w:p>
    <w:p w14:paraId="0EC92EDC" w14:textId="77777777" w:rsidR="0074294C" w:rsidRDefault="0074294C" w:rsidP="0074294C">
      <w:pPr>
        <w:spacing w:after="0" w:line="240" w:lineRule="auto"/>
      </w:pPr>
    </w:p>
    <w:p w14:paraId="5717782D" w14:textId="77777777" w:rsidR="0074294C" w:rsidRDefault="007F02FB" w:rsidP="0074294C">
      <w:pPr>
        <w:spacing w:after="0" w:line="240" w:lineRule="auto"/>
        <w:rPr>
          <w:lang w:val="en-US"/>
        </w:rPr>
      </w:pPr>
      <w:r>
        <w:rPr>
          <w:lang w:val="en-US"/>
        </w:rPr>
        <w:t xml:space="preserve">Detection of LASV relies on viral culture, molecular diagnostics, and immunoassays to detect viral antigen and/or LASV-specific IgG and IgM. </w:t>
      </w:r>
      <w:r w:rsidR="0074294C">
        <w:rPr>
          <w:lang w:val="en-US"/>
        </w:rPr>
        <w:t>However, challenges in biosafety</w:t>
      </w:r>
      <w:r>
        <w:rPr>
          <w:lang w:val="en-US"/>
        </w:rPr>
        <w:t>, a lack of reference standards,</w:t>
      </w:r>
      <w:r w:rsidR="0074294C">
        <w:rPr>
          <w:lang w:val="en-US"/>
        </w:rPr>
        <w:t xml:space="preserve"> and </w:t>
      </w:r>
      <w:r>
        <w:rPr>
          <w:lang w:val="en-US"/>
        </w:rPr>
        <w:t xml:space="preserve">limited </w:t>
      </w:r>
      <w:r w:rsidR="0074294C">
        <w:rPr>
          <w:lang w:val="en-US"/>
        </w:rPr>
        <w:t>access to geographically-diverse samples make it difficult to conduct comparative evaluations of available tests. Data on the analytical and clinical performance of available tests</w:t>
      </w:r>
      <w:r>
        <w:rPr>
          <w:lang w:val="en-US"/>
        </w:rPr>
        <w:t>, particularly for immunoassays detect LASV-specific IgG and IgM are</w:t>
      </w:r>
      <w:r w:rsidR="0074294C">
        <w:rPr>
          <w:lang w:val="en-US"/>
        </w:rPr>
        <w:t xml:space="preserve"> needed to inform seroepidemiological studies to better understand the prevalence of LASV in West Africa, especially in the planning for vaccine and therapeutic efficacy trials. </w:t>
      </w:r>
    </w:p>
    <w:p w14:paraId="3A6A306A" w14:textId="77777777" w:rsidR="0074294C" w:rsidRDefault="007F02FB" w:rsidP="007F02FB">
      <w:pPr>
        <w:tabs>
          <w:tab w:val="left" w:pos="5515"/>
        </w:tabs>
        <w:spacing w:after="0" w:line="240" w:lineRule="auto"/>
      </w:pPr>
      <w:r>
        <w:tab/>
      </w:r>
    </w:p>
    <w:p w14:paraId="16D012B9" w14:textId="2CF64A34" w:rsidR="003C3DFC" w:rsidRPr="0009055F" w:rsidRDefault="003C3DFC" w:rsidP="0004771E">
      <w:pPr>
        <w:spacing w:after="0" w:line="240" w:lineRule="auto"/>
      </w:pPr>
      <w:r>
        <w:t xml:space="preserve">The purpose of this </w:t>
      </w:r>
      <w:r w:rsidR="00EE50FA">
        <w:t xml:space="preserve">expression of interest (EOI) is to solicit researchers and commercial companies with immunoassays for the detection of Lassa virus (LASV)-specific IgG and IgM </w:t>
      </w:r>
      <w:r w:rsidR="007F02FB">
        <w:t>to update the landscape of available immunoassays</w:t>
      </w:r>
      <w:r w:rsidR="0009055F">
        <w:t xml:space="preserve">. </w:t>
      </w:r>
      <w:r>
        <w:rPr>
          <w:lang w:val="en-US"/>
        </w:rPr>
        <w:t xml:space="preserve">The results of this EOI will inform </w:t>
      </w:r>
      <w:r w:rsidR="00D5450D">
        <w:rPr>
          <w:lang w:val="en-US"/>
        </w:rPr>
        <w:t xml:space="preserve">selection of assays for </w:t>
      </w:r>
      <w:r>
        <w:rPr>
          <w:lang w:val="en-US"/>
        </w:rPr>
        <w:t xml:space="preserve">comparative assessment studies </w:t>
      </w:r>
      <w:r w:rsidR="00D5450D">
        <w:rPr>
          <w:lang w:val="en-US"/>
        </w:rPr>
        <w:t xml:space="preserve">that are intended to </w:t>
      </w:r>
      <w:r>
        <w:rPr>
          <w:lang w:val="en-US"/>
        </w:rPr>
        <w:t xml:space="preserve">provide evaluation data from clinically relevant samples that </w:t>
      </w:r>
      <w:r w:rsidR="007F02FB">
        <w:rPr>
          <w:lang w:val="en-US"/>
        </w:rPr>
        <w:t>developers can use to support</w:t>
      </w:r>
      <w:r>
        <w:rPr>
          <w:lang w:val="en-US"/>
        </w:rPr>
        <w:t xml:space="preserve"> further assay development or regulatory submission. </w:t>
      </w:r>
      <w:r w:rsidR="003E2E6D">
        <w:rPr>
          <w:lang w:val="en-US"/>
        </w:rPr>
        <w:t xml:space="preserve">Similarly, results from the comparative assessment study will be shared with the global health community to inform test use for LASV clinical diagnosis, epidemiology, and vaccine development activities. </w:t>
      </w:r>
    </w:p>
    <w:p w14:paraId="476B103C" w14:textId="77777777" w:rsidR="0004771E" w:rsidRDefault="0004771E" w:rsidP="0004771E">
      <w:pPr>
        <w:spacing w:after="0" w:line="240" w:lineRule="auto"/>
        <w:rPr>
          <w:lang w:val="en-US"/>
        </w:rPr>
      </w:pPr>
    </w:p>
    <w:p w14:paraId="715A9D25" w14:textId="77777777" w:rsidR="003C3DFC" w:rsidRPr="00C40480" w:rsidRDefault="00C40480" w:rsidP="0004771E">
      <w:pPr>
        <w:spacing w:after="0" w:line="240" w:lineRule="auto"/>
        <w:rPr>
          <w:b/>
          <w:sz w:val="24"/>
          <w:szCs w:val="24"/>
          <w:lang w:val="en-US"/>
        </w:rPr>
      </w:pPr>
      <w:r w:rsidRPr="00C40480">
        <w:rPr>
          <w:b/>
          <w:color w:val="43ABB6" w:themeColor="accent2"/>
          <w:sz w:val="24"/>
          <w:szCs w:val="24"/>
          <w:lang w:val="en-US"/>
        </w:rPr>
        <w:t xml:space="preserve">OBJECTIVES </w:t>
      </w:r>
    </w:p>
    <w:p w14:paraId="3C4B7BFE" w14:textId="77777777" w:rsidR="009C690B" w:rsidRPr="00FE5875" w:rsidRDefault="00FE5875" w:rsidP="0004771E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objectives of this call are: </w:t>
      </w:r>
    </w:p>
    <w:p w14:paraId="36E09A50" w14:textId="77777777" w:rsidR="009C690B" w:rsidRDefault="009962AB" w:rsidP="0004771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To update the landscape of</w:t>
      </w:r>
      <w:r w:rsidR="009C690B" w:rsidRPr="009C690B">
        <w:rPr>
          <w:lang w:val="en-US"/>
        </w:rPr>
        <w:t xml:space="preserve"> available immunoassays for the detection of LASV-specific IgG and IgM </w:t>
      </w:r>
    </w:p>
    <w:p w14:paraId="7638DBC5" w14:textId="453A89C2" w:rsidR="002E134A" w:rsidRDefault="002E134A" w:rsidP="0004771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To gauge interest among test developers to participate in a FIND-led comparative assessment study </w:t>
      </w:r>
    </w:p>
    <w:p w14:paraId="618CBD23" w14:textId="77777777" w:rsidR="009C690B" w:rsidRDefault="009C690B" w:rsidP="0004771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To include promising tests in a FIND-led comparative assessment study using clinically relevant samples </w:t>
      </w:r>
    </w:p>
    <w:p w14:paraId="0EB6C3DB" w14:textId="77777777" w:rsidR="007A3CD8" w:rsidRPr="003D1633" w:rsidRDefault="007A3CD8" w:rsidP="003D1633">
      <w:pPr>
        <w:spacing w:after="0" w:line="240" w:lineRule="auto"/>
        <w:rPr>
          <w:i/>
          <w:lang w:val="en-US"/>
        </w:rPr>
      </w:pPr>
    </w:p>
    <w:p w14:paraId="2A5BA499" w14:textId="18C6440C" w:rsidR="00753865" w:rsidRPr="003D1633" w:rsidRDefault="00753865" w:rsidP="003D1633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>Requirements for test developers</w:t>
      </w:r>
    </w:p>
    <w:p w14:paraId="23DAE46A" w14:textId="16006419" w:rsidR="0004771E" w:rsidRPr="003D1633" w:rsidRDefault="009C690B" w:rsidP="003D1633">
      <w:pPr>
        <w:spacing w:after="0" w:line="240" w:lineRule="auto"/>
        <w:rPr>
          <w:lang w:val="en-US"/>
        </w:rPr>
      </w:pPr>
      <w:r w:rsidRPr="003D1633">
        <w:rPr>
          <w:lang w:val="en-US"/>
        </w:rPr>
        <w:t xml:space="preserve">FIND is particularly interested in immunoassays </w:t>
      </w:r>
      <w:r w:rsidR="0004771E" w:rsidRPr="003D1633">
        <w:rPr>
          <w:lang w:val="en-US"/>
        </w:rPr>
        <w:t>with previously published methods, data supporting sensitivity and specificity of IgG and/or IgM detection, data support</w:t>
      </w:r>
      <w:r w:rsidR="009C6DE7" w:rsidRPr="003D1633">
        <w:rPr>
          <w:lang w:val="en-US"/>
        </w:rPr>
        <w:t>ing</w:t>
      </w:r>
      <w:r w:rsidR="0004771E" w:rsidRPr="003D1633">
        <w:rPr>
          <w:lang w:val="en-US"/>
        </w:rPr>
        <w:t xml:space="preserve"> pa</w:t>
      </w:r>
      <w:r w:rsidR="00FE5875" w:rsidRPr="003D1633">
        <w:rPr>
          <w:lang w:val="en-US"/>
        </w:rPr>
        <w:t xml:space="preserve">n-LASV IgG and/or IgM detection, and tests that can be performed in settings with limited biosafety access. </w:t>
      </w:r>
      <w:r w:rsidR="0004771E" w:rsidRPr="003D1633">
        <w:rPr>
          <w:lang w:val="en-US"/>
        </w:rPr>
        <w:t xml:space="preserve"> </w:t>
      </w:r>
      <w:r w:rsidRPr="003D1633">
        <w:rPr>
          <w:lang w:val="en-US"/>
        </w:rPr>
        <w:t xml:space="preserve"> </w:t>
      </w:r>
    </w:p>
    <w:p w14:paraId="1F797048" w14:textId="77777777" w:rsidR="0004771E" w:rsidRDefault="0004771E" w:rsidP="0004771E">
      <w:pPr>
        <w:spacing w:after="0" w:line="240" w:lineRule="auto"/>
        <w:rPr>
          <w:u w:val="single"/>
          <w:lang w:val="en-US"/>
        </w:rPr>
      </w:pPr>
    </w:p>
    <w:p w14:paraId="10D52F5C" w14:textId="77777777" w:rsidR="009C690B" w:rsidRPr="00C40480" w:rsidRDefault="00C40480" w:rsidP="0004771E">
      <w:pPr>
        <w:spacing w:after="0" w:line="240" w:lineRule="auto"/>
        <w:rPr>
          <w:b/>
          <w:color w:val="43ABB6" w:themeColor="accent2"/>
          <w:sz w:val="24"/>
          <w:szCs w:val="24"/>
          <w:lang w:val="en-US"/>
        </w:rPr>
      </w:pPr>
      <w:r w:rsidRPr="00C40480">
        <w:rPr>
          <w:b/>
          <w:color w:val="43ABB6" w:themeColor="accent2"/>
          <w:sz w:val="24"/>
          <w:szCs w:val="24"/>
          <w:lang w:val="en-US"/>
        </w:rPr>
        <w:t xml:space="preserve">BENEFITS OF WORKING WITH FIND </w:t>
      </w:r>
    </w:p>
    <w:p w14:paraId="5D868E8C" w14:textId="08FCD7A7" w:rsidR="009C690B" w:rsidRDefault="009C690B" w:rsidP="0004771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lastRenderedPageBreak/>
        <w:t>FIND will</w:t>
      </w:r>
      <w:r w:rsidR="00D479C6">
        <w:rPr>
          <w:lang w:val="en-US"/>
        </w:rPr>
        <w:t xml:space="preserve"> support procurement of commercially available tests, where relevant. However, a maximum purchase price may be set depending on the volume of responses received. </w:t>
      </w:r>
      <w:r>
        <w:rPr>
          <w:lang w:val="en-US"/>
        </w:rPr>
        <w:t xml:space="preserve"> </w:t>
      </w:r>
    </w:p>
    <w:p w14:paraId="0E177E8F" w14:textId="32CD7EFC" w:rsidR="009C690B" w:rsidRPr="0004771E" w:rsidRDefault="009C690B" w:rsidP="0004771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FIND will </w:t>
      </w:r>
      <w:r w:rsidR="0097156D">
        <w:rPr>
          <w:lang w:val="en-US"/>
        </w:rPr>
        <w:t>share test performance results with the provide</w:t>
      </w:r>
      <w:r w:rsidR="00D479C6">
        <w:rPr>
          <w:lang w:val="en-US"/>
        </w:rPr>
        <w:t>r</w:t>
      </w:r>
      <w:r w:rsidR="0097156D">
        <w:rPr>
          <w:lang w:val="en-US"/>
        </w:rPr>
        <w:t xml:space="preserve"> as well as comparative results for other assays in a de-identified format </w:t>
      </w:r>
    </w:p>
    <w:p w14:paraId="365EE46E" w14:textId="77777777" w:rsidR="0004771E" w:rsidRDefault="0004771E" w:rsidP="0004771E">
      <w:pPr>
        <w:spacing w:after="0" w:line="240" w:lineRule="auto"/>
        <w:rPr>
          <w:u w:val="single"/>
          <w:lang w:val="en-US"/>
        </w:rPr>
      </w:pPr>
    </w:p>
    <w:p w14:paraId="14844EB3" w14:textId="77777777" w:rsidR="007A3CD8" w:rsidRDefault="007A3CD8" w:rsidP="0004771E">
      <w:pPr>
        <w:spacing w:after="0" w:line="240" w:lineRule="auto"/>
        <w:rPr>
          <w:u w:val="single"/>
          <w:lang w:val="en-US"/>
        </w:rPr>
      </w:pPr>
    </w:p>
    <w:p w14:paraId="32CBEDF6" w14:textId="77777777" w:rsidR="007A3CD8" w:rsidRDefault="007A3CD8" w:rsidP="0004771E">
      <w:pPr>
        <w:spacing w:after="0" w:line="240" w:lineRule="auto"/>
        <w:rPr>
          <w:u w:val="single"/>
          <w:lang w:val="en-US"/>
        </w:rPr>
      </w:pPr>
    </w:p>
    <w:p w14:paraId="5474D467" w14:textId="77777777" w:rsidR="007A3CD8" w:rsidRDefault="007A3CD8" w:rsidP="0004771E">
      <w:pPr>
        <w:spacing w:after="0" w:line="240" w:lineRule="auto"/>
        <w:rPr>
          <w:u w:val="single"/>
          <w:lang w:val="en-US"/>
        </w:rPr>
      </w:pPr>
    </w:p>
    <w:p w14:paraId="716E1771" w14:textId="77777777" w:rsidR="0004771E" w:rsidRPr="00C40480" w:rsidRDefault="00C40480" w:rsidP="0004771E">
      <w:pPr>
        <w:spacing w:after="0" w:line="240" w:lineRule="auto"/>
        <w:rPr>
          <w:b/>
          <w:color w:val="43ABB6" w:themeColor="accent2"/>
          <w:sz w:val="24"/>
          <w:szCs w:val="24"/>
          <w:lang w:val="en-US"/>
        </w:rPr>
      </w:pPr>
      <w:r w:rsidRPr="00C40480">
        <w:rPr>
          <w:b/>
          <w:color w:val="43ABB6" w:themeColor="accent2"/>
          <w:sz w:val="24"/>
          <w:szCs w:val="24"/>
          <w:lang w:val="en-US"/>
        </w:rPr>
        <w:t>TIMELINES</w:t>
      </w:r>
    </w:p>
    <w:p w14:paraId="27862ED5" w14:textId="531A48F8" w:rsidR="0004771E" w:rsidRDefault="0004771E" w:rsidP="0004771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Expression of interest </w:t>
      </w:r>
      <w:r w:rsidR="00FE5875">
        <w:rPr>
          <w:lang w:val="en-US"/>
        </w:rPr>
        <w:t xml:space="preserve">and completion of the company and technology questionnaire </w:t>
      </w:r>
      <w:r w:rsidR="007A3CD8">
        <w:rPr>
          <w:lang w:val="en-US"/>
        </w:rPr>
        <w:t xml:space="preserve">(including analytical performance data) </w:t>
      </w:r>
      <w:r w:rsidR="00FE5875">
        <w:rPr>
          <w:lang w:val="en-US"/>
        </w:rPr>
        <w:t xml:space="preserve">is to be submitted by </w:t>
      </w:r>
      <w:r w:rsidR="0003288B">
        <w:rPr>
          <w:b/>
          <w:lang w:val="en-US"/>
        </w:rPr>
        <w:t>5</w:t>
      </w:r>
      <w:r w:rsidR="0003288B" w:rsidRPr="0003288B">
        <w:rPr>
          <w:b/>
          <w:vertAlign w:val="superscript"/>
          <w:lang w:val="en-US"/>
        </w:rPr>
        <w:t>th</w:t>
      </w:r>
      <w:r w:rsidR="0003288B">
        <w:rPr>
          <w:b/>
          <w:lang w:val="en-US"/>
        </w:rPr>
        <w:t xml:space="preserve"> </w:t>
      </w:r>
      <w:r w:rsidR="008242F8">
        <w:rPr>
          <w:b/>
          <w:lang w:val="en-US"/>
        </w:rPr>
        <w:t>April</w:t>
      </w:r>
      <w:r w:rsidR="00D479C6" w:rsidRPr="003D1633">
        <w:rPr>
          <w:b/>
          <w:lang w:val="en-US"/>
        </w:rPr>
        <w:t xml:space="preserve"> 2019</w:t>
      </w:r>
      <w:r w:rsidR="002129A7">
        <w:rPr>
          <w:lang w:val="en-US"/>
        </w:rPr>
        <w:t xml:space="preserve">. </w:t>
      </w:r>
      <w:r w:rsidR="00324A5B">
        <w:rPr>
          <w:lang w:val="en-US"/>
        </w:rPr>
        <w:t xml:space="preserve">The questionnaire is provided separately. </w:t>
      </w:r>
    </w:p>
    <w:p w14:paraId="61BF60B1" w14:textId="77777777" w:rsidR="00324A5B" w:rsidRDefault="00E95862" w:rsidP="0004771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Submission review and due diligence will be performed by FIND staff. FIND staff will contact applicants in case of any questions and confirm interest in test evaluation. </w:t>
      </w:r>
    </w:p>
    <w:p w14:paraId="0F7F3FFE" w14:textId="49463825" w:rsidR="007A3CD8" w:rsidRDefault="00E95862" w:rsidP="0004771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FIND will procure tests from the</w:t>
      </w:r>
      <w:r w:rsidR="007A3CD8">
        <w:rPr>
          <w:lang w:val="en-US"/>
        </w:rPr>
        <w:t xml:space="preserve"> selected</w:t>
      </w:r>
      <w:r>
        <w:rPr>
          <w:lang w:val="en-US"/>
        </w:rPr>
        <w:t xml:space="preserve"> test developer(s) after the protocol is finalized</w:t>
      </w:r>
      <w:r w:rsidR="007A3CD8">
        <w:rPr>
          <w:lang w:val="en-US"/>
        </w:rPr>
        <w:t xml:space="preserve"> (tentatively </w:t>
      </w:r>
      <w:r w:rsidR="007C2B77">
        <w:rPr>
          <w:b/>
          <w:lang w:val="en-US"/>
        </w:rPr>
        <w:t>June-July</w:t>
      </w:r>
      <w:r w:rsidR="007A3CD8">
        <w:rPr>
          <w:b/>
          <w:lang w:val="en-US"/>
        </w:rPr>
        <w:t xml:space="preserve"> 2019)</w:t>
      </w:r>
      <w:r>
        <w:rPr>
          <w:lang w:val="en-US"/>
        </w:rPr>
        <w:t>.</w:t>
      </w:r>
    </w:p>
    <w:p w14:paraId="05ED52CD" w14:textId="6C7BCE6F" w:rsidR="00E95862" w:rsidRDefault="007A3CD8" w:rsidP="0004771E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FIND will provide results to test developer(s) by </w:t>
      </w:r>
      <w:r w:rsidR="007C2B77">
        <w:rPr>
          <w:b/>
          <w:lang w:val="en-US"/>
        </w:rPr>
        <w:t>30</w:t>
      </w:r>
      <w:r w:rsidRPr="003D1633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November 2019. </w:t>
      </w:r>
      <w:r w:rsidR="00E95862">
        <w:rPr>
          <w:lang w:val="en-US"/>
        </w:rPr>
        <w:t xml:space="preserve"> </w:t>
      </w:r>
    </w:p>
    <w:p w14:paraId="7C8E368B" w14:textId="77777777" w:rsidR="00E95862" w:rsidRDefault="00E95862" w:rsidP="00E95862">
      <w:pPr>
        <w:spacing w:after="0" w:line="240" w:lineRule="auto"/>
        <w:rPr>
          <w:lang w:val="en-US"/>
        </w:rPr>
      </w:pPr>
    </w:p>
    <w:p w14:paraId="76CF7BE9" w14:textId="77777777" w:rsidR="00E95862" w:rsidRDefault="00E95862" w:rsidP="00E95862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 xml:space="preserve">Conditions: </w:t>
      </w:r>
    </w:p>
    <w:p w14:paraId="54CB62C9" w14:textId="3544CB8B" w:rsidR="00E95862" w:rsidRDefault="00D5450D" w:rsidP="00E95862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Where developers consider there is information to remain confidential, FIND can provide its standard Mutual Non-disclosure Agreement for execution.  </w:t>
      </w:r>
      <w:r w:rsidR="00E95862">
        <w:rPr>
          <w:lang w:val="en-US"/>
        </w:rPr>
        <w:t xml:space="preserve"> </w:t>
      </w:r>
    </w:p>
    <w:p w14:paraId="19998DB1" w14:textId="77777777" w:rsidR="00E95862" w:rsidRDefault="00E95862" w:rsidP="00E95862">
      <w:pPr>
        <w:spacing w:after="0" w:line="240" w:lineRule="auto"/>
        <w:rPr>
          <w:lang w:val="en-US"/>
        </w:rPr>
      </w:pPr>
    </w:p>
    <w:p w14:paraId="32DD7C85" w14:textId="22661E1B" w:rsidR="00E95862" w:rsidRPr="00071250" w:rsidRDefault="00E95862" w:rsidP="00E95862">
      <w:pPr>
        <w:spacing w:after="0" w:line="240" w:lineRule="auto"/>
        <w:rPr>
          <w:color w:val="43ABB6" w:themeColor="accent2"/>
          <w:sz w:val="24"/>
          <w:szCs w:val="24"/>
          <w:lang w:val="en-US"/>
        </w:rPr>
      </w:pPr>
      <w:r w:rsidRPr="00071250">
        <w:rPr>
          <w:b/>
          <w:color w:val="43ABB6" w:themeColor="accent2"/>
          <w:sz w:val="24"/>
          <w:szCs w:val="24"/>
          <w:lang w:val="en-US"/>
        </w:rPr>
        <w:t xml:space="preserve">SEND SUBMISSIONS BEFORE </w:t>
      </w:r>
      <w:r w:rsidR="0003288B">
        <w:rPr>
          <w:b/>
          <w:color w:val="43ABB6" w:themeColor="accent2"/>
          <w:sz w:val="24"/>
          <w:szCs w:val="24"/>
          <w:lang w:val="en-US"/>
        </w:rPr>
        <w:t>5</w:t>
      </w:r>
      <w:r w:rsidR="0003288B">
        <w:rPr>
          <w:b/>
          <w:color w:val="43ABB6" w:themeColor="accent2"/>
          <w:sz w:val="24"/>
          <w:szCs w:val="24"/>
          <w:vertAlign w:val="superscript"/>
          <w:lang w:val="en-US"/>
        </w:rPr>
        <w:t>th</w:t>
      </w:r>
      <w:r w:rsidR="007A3CD8" w:rsidRPr="003D1633">
        <w:rPr>
          <w:b/>
          <w:color w:val="43ABB6" w:themeColor="accent2"/>
          <w:sz w:val="24"/>
          <w:szCs w:val="24"/>
          <w:lang w:val="en-US"/>
        </w:rPr>
        <w:t xml:space="preserve"> </w:t>
      </w:r>
      <w:r w:rsidR="008242F8">
        <w:rPr>
          <w:b/>
          <w:color w:val="43ABB6" w:themeColor="accent2"/>
          <w:sz w:val="24"/>
          <w:szCs w:val="24"/>
          <w:lang w:val="en-US"/>
        </w:rPr>
        <w:t>April</w:t>
      </w:r>
      <w:r w:rsidR="007A3CD8" w:rsidRPr="003D1633">
        <w:rPr>
          <w:b/>
          <w:color w:val="43ABB6" w:themeColor="accent2"/>
          <w:sz w:val="24"/>
          <w:szCs w:val="24"/>
          <w:lang w:val="en-US"/>
        </w:rPr>
        <w:t xml:space="preserve"> 2019 </w:t>
      </w:r>
      <w:r w:rsidRPr="00071250">
        <w:rPr>
          <w:b/>
          <w:color w:val="43ABB6" w:themeColor="accent2"/>
          <w:sz w:val="24"/>
          <w:szCs w:val="24"/>
          <w:lang w:val="en-US"/>
        </w:rPr>
        <w:t>TO:</w:t>
      </w:r>
      <w:r w:rsidRPr="00071250">
        <w:rPr>
          <w:color w:val="43ABB6" w:themeColor="accent2"/>
          <w:sz w:val="24"/>
          <w:szCs w:val="24"/>
          <w:lang w:val="en-US"/>
        </w:rPr>
        <w:t xml:space="preserve"> </w:t>
      </w:r>
    </w:p>
    <w:p w14:paraId="75FEBD26" w14:textId="77777777" w:rsidR="00E95862" w:rsidRDefault="009C6DE7" w:rsidP="00E95862">
      <w:pPr>
        <w:spacing w:after="0" w:line="240" w:lineRule="auto"/>
        <w:rPr>
          <w:lang w:val="en-US"/>
        </w:rPr>
      </w:pPr>
      <w:r>
        <w:rPr>
          <w:lang w:val="en-US"/>
        </w:rPr>
        <w:t xml:space="preserve">Devy Emperador </w:t>
      </w:r>
      <w:hyperlink r:id="rId10" w:history="1">
        <w:r w:rsidR="00E95862" w:rsidRPr="00CF2B5F">
          <w:rPr>
            <w:rStyle w:val="Hyperlink"/>
            <w:lang w:val="en-US"/>
          </w:rPr>
          <w:t>devy.emperador@finddx.org</w:t>
        </w:r>
      </w:hyperlink>
      <w:r w:rsidR="00E95862">
        <w:rPr>
          <w:lang w:val="en-US"/>
        </w:rPr>
        <w:t xml:space="preserve"> </w:t>
      </w:r>
    </w:p>
    <w:p w14:paraId="48AB5BE8" w14:textId="77777777" w:rsidR="00E95862" w:rsidRDefault="00E95862" w:rsidP="00E95862">
      <w:pPr>
        <w:spacing w:after="0" w:line="240" w:lineRule="auto"/>
        <w:rPr>
          <w:lang w:val="en-US"/>
        </w:rPr>
      </w:pPr>
    </w:p>
    <w:p w14:paraId="70F1ABEB" w14:textId="77777777" w:rsidR="00E95862" w:rsidRPr="00071250" w:rsidRDefault="00E95862" w:rsidP="00E95862">
      <w:pPr>
        <w:spacing w:after="0" w:line="240" w:lineRule="auto"/>
        <w:rPr>
          <w:b/>
          <w:color w:val="43ABB6" w:themeColor="accent2"/>
          <w:sz w:val="24"/>
          <w:szCs w:val="24"/>
          <w:lang w:val="en-US"/>
        </w:rPr>
      </w:pPr>
      <w:r w:rsidRPr="00071250">
        <w:rPr>
          <w:b/>
          <w:color w:val="43ABB6" w:themeColor="accent2"/>
          <w:sz w:val="24"/>
          <w:szCs w:val="24"/>
          <w:lang w:val="en-US"/>
        </w:rPr>
        <w:t xml:space="preserve">FOR QUESTIONS, CONTACT: </w:t>
      </w:r>
    </w:p>
    <w:p w14:paraId="025D5202" w14:textId="77777777" w:rsidR="00E95862" w:rsidRDefault="009C6DE7" w:rsidP="00E95862">
      <w:pPr>
        <w:spacing w:after="0" w:line="240" w:lineRule="auto"/>
        <w:rPr>
          <w:lang w:val="en-US"/>
        </w:rPr>
      </w:pPr>
      <w:r>
        <w:rPr>
          <w:lang w:val="en-US"/>
        </w:rPr>
        <w:t>Devy Emperador</w:t>
      </w:r>
      <w:r w:rsidR="00E95862">
        <w:rPr>
          <w:lang w:val="en-US"/>
        </w:rPr>
        <w:t xml:space="preserve"> </w:t>
      </w:r>
      <w:hyperlink r:id="rId11" w:history="1">
        <w:r w:rsidR="00E95862" w:rsidRPr="00CF2B5F">
          <w:rPr>
            <w:rStyle w:val="Hyperlink"/>
            <w:lang w:val="en-US"/>
          </w:rPr>
          <w:t>devy.emperador@finddx.org</w:t>
        </w:r>
      </w:hyperlink>
    </w:p>
    <w:p w14:paraId="511FBF1D" w14:textId="77777777" w:rsidR="00E95862" w:rsidRPr="005F3B53" w:rsidRDefault="009C6DE7" w:rsidP="00E95862">
      <w:pPr>
        <w:spacing w:after="0" w:line="240" w:lineRule="auto"/>
        <w:rPr>
          <w:lang w:val="en-US"/>
        </w:rPr>
      </w:pPr>
      <w:r>
        <w:rPr>
          <w:lang w:val="en-US"/>
        </w:rPr>
        <w:t>Cassandra Kelly-Cirino</w:t>
      </w:r>
      <w:r w:rsidR="00E95862">
        <w:rPr>
          <w:lang w:val="en-US"/>
        </w:rPr>
        <w:t xml:space="preserve"> </w:t>
      </w:r>
      <w:hyperlink r:id="rId12" w:history="1">
        <w:r w:rsidR="00E95862" w:rsidRPr="00CF2B5F">
          <w:rPr>
            <w:rStyle w:val="Hyperlink"/>
            <w:lang w:val="en-US"/>
          </w:rPr>
          <w:t>cassandra.kelly@finddx.org</w:t>
        </w:r>
      </w:hyperlink>
      <w:r w:rsidR="00E95862">
        <w:rPr>
          <w:lang w:val="en-US"/>
        </w:rPr>
        <w:t xml:space="preserve"> </w:t>
      </w:r>
    </w:p>
    <w:p w14:paraId="49F391B4" w14:textId="77777777" w:rsidR="0044590E" w:rsidRDefault="0044590E" w:rsidP="00E95862">
      <w:pPr>
        <w:spacing w:after="0" w:line="240" w:lineRule="auto"/>
        <w:rPr>
          <w:lang w:val="en-US"/>
        </w:rPr>
        <w:sectPr w:rsidR="0044590E">
          <w:headerReference w:type="default" r:id="rId13"/>
          <w:footerReference w:type="default" r:id="rId14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A7C4FB5" w14:textId="2A60F6D5" w:rsidR="00846281" w:rsidRDefault="0044590E" w:rsidP="00846281">
      <w:pPr>
        <w:spacing w:after="0" w:line="240" w:lineRule="auto"/>
        <w:jc w:val="center"/>
        <w:rPr>
          <w:b/>
          <w:color w:val="5A2259" w:themeColor="accent1"/>
          <w:sz w:val="32"/>
          <w:szCs w:val="32"/>
          <w:lang w:val="en-US"/>
        </w:rPr>
      </w:pPr>
      <w:bookmarkStart w:id="0" w:name="_GoBack"/>
      <w:bookmarkEnd w:id="0"/>
      <w:r w:rsidRPr="00907280">
        <w:rPr>
          <w:b/>
          <w:color w:val="5A2259" w:themeColor="accent1"/>
          <w:sz w:val="32"/>
          <w:szCs w:val="32"/>
          <w:lang w:val="en-US"/>
        </w:rPr>
        <w:lastRenderedPageBreak/>
        <w:t>TEMPLATE for</w:t>
      </w:r>
    </w:p>
    <w:p w14:paraId="202992E4" w14:textId="6E0AAB77" w:rsidR="0044590E" w:rsidRDefault="0044590E" w:rsidP="0044590E">
      <w:pPr>
        <w:spacing w:after="0" w:line="240" w:lineRule="auto"/>
        <w:rPr>
          <w:b/>
          <w:color w:val="5A2259" w:themeColor="accent1"/>
          <w:sz w:val="32"/>
          <w:szCs w:val="32"/>
          <w:lang w:val="en-US"/>
        </w:rPr>
      </w:pPr>
      <w:r w:rsidRPr="00907280">
        <w:rPr>
          <w:b/>
          <w:color w:val="5A2259" w:themeColor="accent1"/>
          <w:sz w:val="32"/>
          <w:szCs w:val="32"/>
          <w:lang w:val="en-US"/>
        </w:rPr>
        <w:t xml:space="preserve">Call for test developers: Immunoassays for the detection of Lassa virus-specific antibodies </w:t>
      </w:r>
    </w:p>
    <w:p w14:paraId="75F4E8E6" w14:textId="77777777" w:rsidR="00A3243E" w:rsidRPr="00A3243E" w:rsidRDefault="00A3243E" w:rsidP="00A3243E">
      <w:pPr>
        <w:spacing w:after="0" w:line="240" w:lineRule="auto"/>
        <w:rPr>
          <w:b/>
          <w:color w:val="5A2259" w:themeColor="accent1"/>
          <w:sz w:val="24"/>
          <w:szCs w:val="24"/>
          <w:lang w:val="en-US"/>
        </w:rPr>
      </w:pPr>
      <w:r>
        <w:rPr>
          <w:lang w:val="en-US"/>
        </w:rPr>
        <w:t>NOTE: Up to three (3) pages max</w:t>
      </w:r>
    </w:p>
    <w:p w14:paraId="4F97C8F9" w14:textId="77777777" w:rsidR="00E95862" w:rsidRDefault="00E95862" w:rsidP="00E95862">
      <w:pPr>
        <w:spacing w:after="0" w:line="240" w:lineRule="auto"/>
        <w:rPr>
          <w:lang w:val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043"/>
      </w:tblGrid>
      <w:tr w:rsidR="00A3243E" w:rsidRPr="00D77522" w14:paraId="3424F67D" w14:textId="77777777" w:rsidTr="00A3243E">
        <w:tc>
          <w:tcPr>
            <w:tcW w:w="8928" w:type="dxa"/>
            <w:gridSpan w:val="2"/>
            <w:shd w:val="clear" w:color="auto" w:fill="8CCDD4" w:themeFill="accent2" w:themeFillTint="99"/>
          </w:tcPr>
          <w:p w14:paraId="0D05D765" w14:textId="77777777" w:rsidR="00A3243E" w:rsidRPr="00D77522" w:rsidRDefault="00A3243E" w:rsidP="00286C2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General details</w:t>
            </w:r>
          </w:p>
        </w:tc>
      </w:tr>
      <w:tr w:rsidR="00D77522" w:rsidRPr="00D77522" w14:paraId="6BEAC7D6" w14:textId="77777777" w:rsidTr="00D77522">
        <w:tc>
          <w:tcPr>
            <w:tcW w:w="1885" w:type="dxa"/>
            <w:shd w:val="clear" w:color="auto" w:fill="auto"/>
          </w:tcPr>
          <w:p w14:paraId="0910E71D" w14:textId="77777777" w:rsidR="00D77522" w:rsidRPr="00D77522" w:rsidRDefault="00D77522" w:rsidP="00D7752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Name of applicant: </w:t>
            </w:r>
          </w:p>
        </w:tc>
        <w:tc>
          <w:tcPr>
            <w:tcW w:w="7043" w:type="dxa"/>
            <w:shd w:val="clear" w:color="auto" w:fill="auto"/>
          </w:tcPr>
          <w:p w14:paraId="687F04DF" w14:textId="77777777" w:rsidR="00D77522" w:rsidRPr="00D77522" w:rsidRDefault="00D77522" w:rsidP="00D77522">
            <w:pPr>
              <w:rPr>
                <w:rFonts w:eastAsia="Times New Roman" w:cstheme="minorHAnsi"/>
                <w:color w:val="000000"/>
              </w:rPr>
            </w:pPr>
            <w:r w:rsidRPr="00482B1B">
              <w:rPr>
                <w:i/>
                <w:color w:val="627786" w:themeColor="accent3" w:themeShade="BF"/>
                <w:szCs w:val="24"/>
              </w:rPr>
              <w:t>List here the name of the main applicant</w:t>
            </w:r>
            <w:r>
              <w:rPr>
                <w:i/>
                <w:color w:val="627786" w:themeColor="accent3" w:themeShade="BF"/>
                <w:szCs w:val="24"/>
              </w:rPr>
              <w:t xml:space="preserve"> and co-applicants. Can include name of company and/or principal investigator for lab-developed tests. </w:t>
            </w:r>
          </w:p>
        </w:tc>
      </w:tr>
      <w:tr w:rsidR="00D77522" w:rsidRPr="00D77522" w14:paraId="797F9026" w14:textId="77777777" w:rsidTr="00D77522">
        <w:tc>
          <w:tcPr>
            <w:tcW w:w="1885" w:type="dxa"/>
            <w:shd w:val="clear" w:color="auto" w:fill="auto"/>
          </w:tcPr>
          <w:p w14:paraId="29013B01" w14:textId="77777777" w:rsidR="00D77522" w:rsidRPr="00D77522" w:rsidRDefault="00D77522" w:rsidP="00D7752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Contact details: </w:t>
            </w:r>
          </w:p>
        </w:tc>
        <w:tc>
          <w:tcPr>
            <w:tcW w:w="7043" w:type="dxa"/>
            <w:shd w:val="clear" w:color="auto" w:fill="auto"/>
          </w:tcPr>
          <w:p w14:paraId="2F415C52" w14:textId="77777777" w:rsidR="00D77522" w:rsidRPr="00D77522" w:rsidRDefault="00D77522" w:rsidP="00D775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031BB">
              <w:rPr>
                <w:i/>
                <w:color w:val="627786" w:themeColor="accent3" w:themeShade="BF"/>
              </w:rPr>
              <w:t>Provide here contact details of corresponding investigators for further communication with FIND.</w:t>
            </w:r>
          </w:p>
        </w:tc>
      </w:tr>
    </w:tbl>
    <w:p w14:paraId="2DCA0442" w14:textId="77777777" w:rsidR="00D77522" w:rsidRPr="00D77522" w:rsidRDefault="00D77522" w:rsidP="00D77522">
      <w:pPr>
        <w:spacing w:after="0" w:line="240" w:lineRule="auto"/>
        <w:rPr>
          <w:rFonts w:cstheme="minorHAnsi"/>
          <w:lang w:val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043"/>
      </w:tblGrid>
      <w:tr w:rsidR="00D77522" w:rsidRPr="00D77522" w14:paraId="62ACE308" w14:textId="77777777" w:rsidTr="00A3243E">
        <w:tc>
          <w:tcPr>
            <w:tcW w:w="8928" w:type="dxa"/>
            <w:gridSpan w:val="2"/>
            <w:shd w:val="clear" w:color="auto" w:fill="8CCDD4" w:themeFill="accent2" w:themeFillTint="99"/>
          </w:tcPr>
          <w:p w14:paraId="3A121498" w14:textId="77777777" w:rsidR="00D77522" w:rsidRPr="00D77522" w:rsidRDefault="00D77522" w:rsidP="00286C2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77522">
              <w:rPr>
                <w:rFonts w:eastAsia="Times New Roman" w:cstheme="minorHAnsi"/>
                <w:b/>
                <w:color w:val="000000"/>
              </w:rPr>
              <w:t>Test details</w:t>
            </w:r>
          </w:p>
        </w:tc>
      </w:tr>
      <w:tr w:rsidR="00D77522" w:rsidRPr="00D77522" w14:paraId="1E0DA1FC" w14:textId="77777777" w:rsidTr="00D77522">
        <w:tc>
          <w:tcPr>
            <w:tcW w:w="1885" w:type="dxa"/>
            <w:shd w:val="clear" w:color="auto" w:fill="auto"/>
          </w:tcPr>
          <w:p w14:paraId="1D8EA59E" w14:textId="77777777" w:rsidR="00D77522" w:rsidRPr="00D77522" w:rsidRDefault="00D77522" w:rsidP="00D7752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77522">
              <w:rPr>
                <w:rFonts w:eastAsia="Times New Roman" w:cstheme="minorHAnsi"/>
                <w:b/>
                <w:color w:val="000000"/>
              </w:rPr>
              <w:t>Name of test</w:t>
            </w:r>
          </w:p>
        </w:tc>
        <w:tc>
          <w:tcPr>
            <w:tcW w:w="7043" w:type="dxa"/>
            <w:shd w:val="clear" w:color="auto" w:fill="auto"/>
          </w:tcPr>
          <w:p w14:paraId="04744D9B" w14:textId="77777777" w:rsidR="00D77522" w:rsidRDefault="00D77522" w:rsidP="00286C2F">
            <w:pPr>
              <w:spacing w:after="0" w:line="240" w:lineRule="auto"/>
              <w:rPr>
                <w:i/>
                <w:color w:val="627786" w:themeColor="accent3" w:themeShade="BF"/>
                <w:szCs w:val="24"/>
              </w:rPr>
            </w:pPr>
            <w:r>
              <w:rPr>
                <w:i/>
                <w:color w:val="627786" w:themeColor="accent3" w:themeShade="BF"/>
                <w:szCs w:val="24"/>
              </w:rPr>
              <w:t xml:space="preserve">Provide </w:t>
            </w:r>
            <w:r w:rsidR="00D2071F">
              <w:rPr>
                <w:i/>
                <w:color w:val="627786" w:themeColor="accent3" w:themeShade="BF"/>
                <w:szCs w:val="24"/>
              </w:rPr>
              <w:t xml:space="preserve">here the </w:t>
            </w:r>
            <w:r>
              <w:rPr>
                <w:i/>
                <w:color w:val="627786" w:themeColor="accent3" w:themeShade="BF"/>
                <w:szCs w:val="24"/>
              </w:rPr>
              <w:t>name of test.</w:t>
            </w:r>
          </w:p>
          <w:p w14:paraId="7CD1F76A" w14:textId="77777777" w:rsidR="00D2071F" w:rsidRPr="00D77522" w:rsidRDefault="00D2071F" w:rsidP="00286C2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D77522" w:rsidRPr="00D77522" w14:paraId="0A7817D4" w14:textId="77777777" w:rsidTr="00D77522">
        <w:tc>
          <w:tcPr>
            <w:tcW w:w="1885" w:type="dxa"/>
            <w:shd w:val="clear" w:color="auto" w:fill="auto"/>
          </w:tcPr>
          <w:p w14:paraId="0C0BF96C" w14:textId="77777777" w:rsidR="00D77522" w:rsidRPr="00D77522" w:rsidRDefault="00D77522" w:rsidP="00D7752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77522">
              <w:rPr>
                <w:rFonts w:eastAsia="Times New Roman" w:cstheme="minorHAnsi"/>
                <w:b/>
                <w:color w:val="000000"/>
              </w:rPr>
              <w:t>Test description</w:t>
            </w:r>
          </w:p>
        </w:tc>
        <w:tc>
          <w:tcPr>
            <w:tcW w:w="7043" w:type="dxa"/>
            <w:shd w:val="clear" w:color="auto" w:fill="auto"/>
          </w:tcPr>
          <w:p w14:paraId="426C528A" w14:textId="77777777" w:rsidR="00A3243E" w:rsidRDefault="00D77522" w:rsidP="00286C2F">
            <w:pPr>
              <w:spacing w:after="0" w:line="240" w:lineRule="auto"/>
              <w:rPr>
                <w:i/>
                <w:color w:val="627786" w:themeColor="accent3" w:themeShade="BF"/>
              </w:rPr>
            </w:pPr>
            <w:r>
              <w:rPr>
                <w:i/>
                <w:color w:val="627786" w:themeColor="accent3" w:themeShade="BF"/>
              </w:rPr>
              <w:t>Briefly describe the assay</w:t>
            </w:r>
            <w:r w:rsidR="00A3243E">
              <w:rPr>
                <w:i/>
                <w:color w:val="627786" w:themeColor="accent3" w:themeShade="BF"/>
              </w:rPr>
              <w:t xml:space="preserve">. Should include information on: </w:t>
            </w:r>
          </w:p>
          <w:p w14:paraId="50A75BB6" w14:textId="338EC0B8" w:rsidR="00A3243E" w:rsidRPr="00A3243E" w:rsidRDefault="00A3243E" w:rsidP="00A324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i/>
                <w:color w:val="627786" w:themeColor="accent3" w:themeShade="BF"/>
              </w:rPr>
              <w:t>T</w:t>
            </w:r>
            <w:r w:rsidR="00D77522" w:rsidRPr="00A3243E">
              <w:rPr>
                <w:i/>
                <w:color w:val="627786" w:themeColor="accent3" w:themeShade="BF"/>
              </w:rPr>
              <w:t>est type [ELISA kit, ELISA reagents</w:t>
            </w:r>
            <w:r w:rsidRPr="00A3243E">
              <w:rPr>
                <w:i/>
                <w:color w:val="627786" w:themeColor="accent3" w:themeShade="BF"/>
              </w:rPr>
              <w:t xml:space="preserve"> and validated platforms,</w:t>
            </w:r>
            <w:r w:rsidR="00F45671">
              <w:rPr>
                <w:i/>
                <w:color w:val="627786" w:themeColor="accent3" w:themeShade="BF"/>
              </w:rPr>
              <w:t xml:space="preserve"> IFA</w:t>
            </w:r>
            <w:r w:rsidRPr="00A3243E">
              <w:rPr>
                <w:i/>
                <w:color w:val="627786" w:themeColor="accent3" w:themeShade="BF"/>
              </w:rPr>
              <w:t xml:space="preserve"> etc.</w:t>
            </w:r>
            <w:r>
              <w:rPr>
                <w:i/>
                <w:color w:val="627786" w:themeColor="accent3" w:themeShade="BF"/>
              </w:rPr>
              <w:t>]</w:t>
            </w:r>
          </w:p>
          <w:p w14:paraId="3F763E51" w14:textId="5878F653" w:rsidR="00A3243E" w:rsidRPr="00A3243E" w:rsidRDefault="00A3243E" w:rsidP="00A324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i/>
                <w:color w:val="627786" w:themeColor="accent3" w:themeShade="BF"/>
              </w:rPr>
              <w:t>S</w:t>
            </w:r>
            <w:r w:rsidRPr="00A3243E">
              <w:rPr>
                <w:i/>
                <w:color w:val="627786" w:themeColor="accent3" w:themeShade="BF"/>
              </w:rPr>
              <w:t>ample analyte [LASV</w:t>
            </w:r>
            <w:r w:rsidR="00F01095">
              <w:rPr>
                <w:i/>
                <w:color w:val="627786" w:themeColor="accent3" w:themeShade="BF"/>
              </w:rPr>
              <w:t xml:space="preserve"> </w:t>
            </w:r>
            <w:r w:rsidRPr="00A3243E">
              <w:rPr>
                <w:i/>
                <w:color w:val="627786" w:themeColor="accent3" w:themeShade="BF"/>
              </w:rPr>
              <w:t>IgG</w:t>
            </w:r>
            <w:r w:rsidR="00F01095">
              <w:rPr>
                <w:i/>
                <w:color w:val="627786" w:themeColor="accent3" w:themeShade="BF"/>
              </w:rPr>
              <w:t>/</w:t>
            </w:r>
            <w:r w:rsidRPr="00A3243E">
              <w:rPr>
                <w:i/>
                <w:color w:val="627786" w:themeColor="accent3" w:themeShade="BF"/>
              </w:rPr>
              <w:t xml:space="preserve"> IgM</w:t>
            </w:r>
            <w:r w:rsidR="00F45671">
              <w:rPr>
                <w:i/>
                <w:color w:val="627786" w:themeColor="accent3" w:themeShade="BF"/>
              </w:rPr>
              <w:t xml:space="preserve"> to GP/NP/Z</w:t>
            </w:r>
            <w:r>
              <w:rPr>
                <w:i/>
                <w:color w:val="627786" w:themeColor="accent3" w:themeShade="BF"/>
              </w:rPr>
              <w:t>]</w:t>
            </w:r>
          </w:p>
          <w:p w14:paraId="3641842A" w14:textId="77777777" w:rsidR="00D77522" w:rsidRPr="00A3243E" w:rsidRDefault="00A3243E" w:rsidP="00A324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i/>
                <w:color w:val="627786" w:themeColor="accent3" w:themeShade="BF"/>
              </w:rPr>
              <w:t>S</w:t>
            </w:r>
            <w:r w:rsidRPr="00A3243E">
              <w:rPr>
                <w:i/>
                <w:color w:val="627786" w:themeColor="accent3" w:themeShade="BF"/>
              </w:rPr>
              <w:t>ample type, etc.</w:t>
            </w:r>
          </w:p>
        </w:tc>
      </w:tr>
      <w:tr w:rsidR="00D77522" w:rsidRPr="00D77522" w14:paraId="01AAEDA5" w14:textId="77777777" w:rsidTr="00F01095">
        <w:trPr>
          <w:trHeight w:val="1709"/>
        </w:trPr>
        <w:tc>
          <w:tcPr>
            <w:tcW w:w="1885" w:type="dxa"/>
            <w:shd w:val="clear" w:color="auto" w:fill="auto"/>
          </w:tcPr>
          <w:p w14:paraId="3C36C7F4" w14:textId="77777777" w:rsidR="00D77522" w:rsidRPr="00D77522" w:rsidRDefault="00D77522" w:rsidP="00286C2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77522">
              <w:rPr>
                <w:rFonts w:eastAsia="Times New Roman" w:cstheme="minorHAnsi"/>
                <w:b/>
                <w:color w:val="000000"/>
              </w:rPr>
              <w:t>Analytical performance</w:t>
            </w:r>
          </w:p>
        </w:tc>
        <w:tc>
          <w:tcPr>
            <w:tcW w:w="7043" w:type="dxa"/>
            <w:shd w:val="clear" w:color="auto" w:fill="auto"/>
          </w:tcPr>
          <w:p w14:paraId="0BCDD7DC" w14:textId="3230DA1E" w:rsidR="002E134A" w:rsidRDefault="00A3243E">
            <w:pPr>
              <w:spacing w:after="0" w:line="240" w:lineRule="auto"/>
              <w:rPr>
                <w:i/>
                <w:color w:val="627786" w:themeColor="accent3" w:themeShade="BF"/>
              </w:rPr>
            </w:pPr>
            <w:r>
              <w:rPr>
                <w:i/>
                <w:color w:val="627786" w:themeColor="accent3" w:themeShade="BF"/>
              </w:rPr>
              <w:t xml:space="preserve">Provide results from analytical performance studies and references to published papers. Should include data on </w:t>
            </w:r>
            <w:r w:rsidR="00D37675">
              <w:rPr>
                <w:i/>
                <w:color w:val="627786" w:themeColor="accent3" w:themeShade="BF"/>
              </w:rPr>
              <w:t xml:space="preserve">limit of detection (LOD), cross reactivity, and accuracy (i.e. test sensitivity and specificity). </w:t>
            </w:r>
            <w:r>
              <w:rPr>
                <w:i/>
                <w:color w:val="627786" w:themeColor="accent3" w:themeShade="BF"/>
              </w:rPr>
              <w:t xml:space="preserve"> </w:t>
            </w:r>
            <w:r w:rsidR="00D479C6">
              <w:rPr>
                <w:i/>
                <w:color w:val="627786" w:themeColor="accent3" w:themeShade="BF"/>
              </w:rPr>
              <w:t xml:space="preserve">Include reference assay. </w:t>
            </w:r>
            <w:r w:rsidR="002E134A">
              <w:rPr>
                <w:i/>
                <w:color w:val="627786" w:themeColor="accent3" w:themeShade="BF"/>
              </w:rPr>
              <w:t xml:space="preserve">If unavailable at the time of submission, include a timeline of when analytical performance data will be available. </w:t>
            </w:r>
          </w:p>
          <w:p w14:paraId="72DED010" w14:textId="77777777" w:rsidR="00D479C6" w:rsidRDefault="00D479C6">
            <w:pPr>
              <w:spacing w:after="0" w:line="240" w:lineRule="auto"/>
              <w:rPr>
                <w:i/>
                <w:color w:val="627786" w:themeColor="accent3" w:themeShade="BF"/>
              </w:rPr>
            </w:pPr>
          </w:p>
          <w:p w14:paraId="560C6B60" w14:textId="77777777" w:rsidR="00D37675" w:rsidRDefault="00D479C6">
            <w:pPr>
              <w:spacing w:after="0" w:line="240" w:lineRule="auto"/>
              <w:rPr>
                <w:i/>
                <w:color w:val="627786" w:themeColor="accent3" w:themeShade="BF"/>
              </w:rPr>
            </w:pPr>
            <w:r>
              <w:rPr>
                <w:i/>
                <w:color w:val="627786" w:themeColor="accent3" w:themeShade="BF"/>
              </w:rPr>
              <w:t>Minimum requirements</w:t>
            </w:r>
            <w:r w:rsidR="00D37675">
              <w:rPr>
                <w:i/>
                <w:color w:val="627786" w:themeColor="accent3" w:themeShade="BF"/>
              </w:rPr>
              <w:t xml:space="preserve"> of assay</w:t>
            </w:r>
            <w:r>
              <w:rPr>
                <w:i/>
                <w:color w:val="627786" w:themeColor="accent3" w:themeShade="BF"/>
              </w:rPr>
              <w:t xml:space="preserve">: </w:t>
            </w:r>
          </w:p>
          <w:p w14:paraId="35BC2A50" w14:textId="06842246" w:rsidR="00D37675" w:rsidRDefault="00D37675" w:rsidP="003D1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color w:val="627786" w:themeColor="accent3" w:themeShade="BF"/>
              </w:rPr>
            </w:pPr>
            <w:r>
              <w:rPr>
                <w:i/>
                <w:color w:val="627786" w:themeColor="accent3" w:themeShade="BF"/>
              </w:rPr>
              <w:t xml:space="preserve">LOD: </w:t>
            </w:r>
            <w:r w:rsidR="00F01095">
              <w:rPr>
                <w:i/>
                <w:color w:val="627786" w:themeColor="accent3" w:themeShade="BF"/>
              </w:rPr>
              <w:t>not specified but must include information on lowest concentration of test</w:t>
            </w:r>
            <w:r w:rsidR="00F45671">
              <w:rPr>
                <w:i/>
                <w:color w:val="627786" w:themeColor="accent3" w:themeShade="BF"/>
              </w:rPr>
              <w:t xml:space="preserve">, preferably </w:t>
            </w:r>
            <w:r w:rsidR="00F01095">
              <w:rPr>
                <w:i/>
                <w:color w:val="627786" w:themeColor="accent3" w:themeShade="BF"/>
              </w:rPr>
              <w:t xml:space="preserve"> in ng/ml </w:t>
            </w:r>
          </w:p>
          <w:p w14:paraId="4653F421" w14:textId="35B3935F" w:rsidR="00D37675" w:rsidRDefault="00D37675" w:rsidP="003D1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color w:val="627786" w:themeColor="accent3" w:themeShade="BF"/>
              </w:rPr>
            </w:pPr>
            <w:r>
              <w:rPr>
                <w:i/>
                <w:color w:val="627786" w:themeColor="accent3" w:themeShade="BF"/>
              </w:rPr>
              <w:t xml:space="preserve">Cross-reactivity: no cross-reactivity to antibodies against other </w:t>
            </w:r>
            <w:r w:rsidR="00A86197">
              <w:rPr>
                <w:i/>
                <w:color w:val="627786" w:themeColor="accent3" w:themeShade="BF"/>
              </w:rPr>
              <w:t>arenaviruses</w:t>
            </w:r>
          </w:p>
          <w:p w14:paraId="558E95C5" w14:textId="06CF5A43" w:rsidR="00D37675" w:rsidRDefault="00D37675" w:rsidP="003D1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color w:val="627786" w:themeColor="accent3" w:themeShade="BF"/>
              </w:rPr>
            </w:pPr>
            <w:r>
              <w:rPr>
                <w:i/>
                <w:color w:val="627786" w:themeColor="accent3" w:themeShade="BF"/>
              </w:rPr>
              <w:t>Sensitivity: &gt;90%</w:t>
            </w:r>
          </w:p>
          <w:p w14:paraId="1CA1AE5D" w14:textId="34463D3E" w:rsidR="00D479C6" w:rsidRPr="003D1633" w:rsidRDefault="00D37675" w:rsidP="003D1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color w:val="627786" w:themeColor="accent3" w:themeShade="BF"/>
              </w:rPr>
            </w:pPr>
            <w:r>
              <w:rPr>
                <w:i/>
                <w:color w:val="627786" w:themeColor="accent3" w:themeShade="BF"/>
              </w:rPr>
              <w:t>Specificity: &gt;95%</w:t>
            </w:r>
          </w:p>
        </w:tc>
      </w:tr>
      <w:tr w:rsidR="00D77522" w:rsidRPr="00D77522" w14:paraId="0F8E2011" w14:textId="77777777" w:rsidTr="00D77522">
        <w:tc>
          <w:tcPr>
            <w:tcW w:w="1885" w:type="dxa"/>
            <w:shd w:val="clear" w:color="auto" w:fill="auto"/>
          </w:tcPr>
          <w:p w14:paraId="156B8DD7" w14:textId="5A14917D" w:rsidR="00D77522" w:rsidRPr="00D77522" w:rsidRDefault="00D77522" w:rsidP="00286C2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77522">
              <w:rPr>
                <w:rFonts w:eastAsia="Times New Roman" w:cstheme="minorHAnsi"/>
                <w:b/>
                <w:color w:val="000000"/>
              </w:rPr>
              <w:t xml:space="preserve">Clinical performance </w:t>
            </w:r>
          </w:p>
        </w:tc>
        <w:tc>
          <w:tcPr>
            <w:tcW w:w="7043" w:type="dxa"/>
            <w:shd w:val="clear" w:color="auto" w:fill="auto"/>
          </w:tcPr>
          <w:p w14:paraId="5A2D1BBE" w14:textId="347402DD" w:rsidR="00D77522" w:rsidRPr="00D77522" w:rsidRDefault="00A3243E" w:rsidP="00A3243E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i/>
                <w:color w:val="627786" w:themeColor="accent3" w:themeShade="BF"/>
              </w:rPr>
              <w:t xml:space="preserve">Provide results from clinical performance studies and references to published papers, if available. </w:t>
            </w:r>
            <w:r w:rsidR="00D479C6">
              <w:rPr>
                <w:i/>
                <w:color w:val="627786" w:themeColor="accent3" w:themeShade="BF"/>
              </w:rPr>
              <w:t>Include reference assay.</w:t>
            </w:r>
          </w:p>
        </w:tc>
      </w:tr>
      <w:tr w:rsidR="00A3243E" w:rsidRPr="00D77522" w14:paraId="4609AE45" w14:textId="77777777" w:rsidTr="00D77522">
        <w:tc>
          <w:tcPr>
            <w:tcW w:w="1885" w:type="dxa"/>
            <w:shd w:val="clear" w:color="auto" w:fill="auto"/>
          </w:tcPr>
          <w:p w14:paraId="5A70F00F" w14:textId="77777777" w:rsidR="00A3243E" w:rsidRPr="00D77522" w:rsidRDefault="00A3243E" w:rsidP="00286C2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Cost</w:t>
            </w:r>
          </w:p>
        </w:tc>
        <w:tc>
          <w:tcPr>
            <w:tcW w:w="7043" w:type="dxa"/>
            <w:shd w:val="clear" w:color="auto" w:fill="auto"/>
          </w:tcPr>
          <w:p w14:paraId="39B65F05" w14:textId="77777777" w:rsidR="00A3243E" w:rsidRDefault="00A3243E" w:rsidP="00A3243E">
            <w:pPr>
              <w:spacing w:after="0" w:line="240" w:lineRule="auto"/>
              <w:rPr>
                <w:i/>
                <w:color w:val="627786" w:themeColor="accent3" w:themeShade="BF"/>
              </w:rPr>
            </w:pPr>
            <w:r>
              <w:rPr>
                <w:i/>
                <w:color w:val="627786" w:themeColor="accent3" w:themeShade="BF"/>
              </w:rPr>
              <w:t xml:space="preserve">Provide cost per kit/reagent. </w:t>
            </w:r>
          </w:p>
          <w:p w14:paraId="2468080D" w14:textId="77777777" w:rsidR="00D2071F" w:rsidRDefault="00D2071F" w:rsidP="00A3243E">
            <w:pPr>
              <w:spacing w:after="0" w:line="240" w:lineRule="auto"/>
              <w:rPr>
                <w:i/>
                <w:color w:val="627786" w:themeColor="accent3" w:themeShade="BF"/>
              </w:rPr>
            </w:pPr>
          </w:p>
        </w:tc>
      </w:tr>
    </w:tbl>
    <w:p w14:paraId="7C6F54D8" w14:textId="77777777" w:rsidR="00D77522" w:rsidRPr="00D77522" w:rsidRDefault="00D77522" w:rsidP="00D77522">
      <w:pPr>
        <w:spacing w:after="0" w:line="240" w:lineRule="auto"/>
        <w:rPr>
          <w:rFonts w:cstheme="minorHAnsi"/>
          <w:lang w:val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043"/>
      </w:tblGrid>
      <w:tr w:rsidR="00D77522" w:rsidRPr="00D77522" w14:paraId="4713F175" w14:textId="77777777" w:rsidTr="00A3243E">
        <w:tc>
          <w:tcPr>
            <w:tcW w:w="8928" w:type="dxa"/>
            <w:gridSpan w:val="2"/>
            <w:shd w:val="clear" w:color="auto" w:fill="8CCDD4" w:themeFill="accent2" w:themeFillTint="99"/>
          </w:tcPr>
          <w:p w14:paraId="5616E31F" w14:textId="77777777" w:rsidR="00D77522" w:rsidRPr="00D77522" w:rsidRDefault="00D77522" w:rsidP="00286C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522">
              <w:rPr>
                <w:rFonts w:eastAsia="Times New Roman" w:cstheme="minorHAnsi"/>
                <w:b/>
                <w:color w:val="000000"/>
              </w:rPr>
              <w:t>Organization details</w:t>
            </w:r>
          </w:p>
        </w:tc>
      </w:tr>
      <w:tr w:rsidR="00D77522" w:rsidRPr="00D77522" w14:paraId="14C7ED8A" w14:textId="77777777" w:rsidTr="00A3243E">
        <w:tc>
          <w:tcPr>
            <w:tcW w:w="1885" w:type="dxa"/>
            <w:shd w:val="clear" w:color="auto" w:fill="auto"/>
          </w:tcPr>
          <w:p w14:paraId="6322DD22" w14:textId="77777777" w:rsidR="00D77522" w:rsidRPr="00D77522" w:rsidRDefault="00A3243E" w:rsidP="00286C2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Type of organization</w:t>
            </w:r>
          </w:p>
        </w:tc>
        <w:tc>
          <w:tcPr>
            <w:tcW w:w="7043" w:type="dxa"/>
            <w:shd w:val="clear" w:color="auto" w:fill="auto"/>
          </w:tcPr>
          <w:p w14:paraId="4B8A5411" w14:textId="77777777" w:rsidR="00D77522" w:rsidRPr="00D77522" w:rsidRDefault="00D2071F" w:rsidP="00286C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i/>
                <w:color w:val="627786" w:themeColor="accent3" w:themeShade="BF"/>
                <w:szCs w:val="24"/>
              </w:rPr>
              <w:t xml:space="preserve">Describe type of organization (e.g. academic research laboratory, government laboratory, registered company, etc.)   </w:t>
            </w:r>
          </w:p>
        </w:tc>
      </w:tr>
      <w:tr w:rsidR="00D2071F" w:rsidRPr="00D77522" w14:paraId="60B9824E" w14:textId="77777777" w:rsidTr="00A3243E">
        <w:tc>
          <w:tcPr>
            <w:tcW w:w="1885" w:type="dxa"/>
            <w:shd w:val="clear" w:color="auto" w:fill="auto"/>
          </w:tcPr>
          <w:p w14:paraId="54F0870C" w14:textId="77777777" w:rsidR="00D2071F" w:rsidRDefault="00D2071F" w:rsidP="00286C2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Location</w:t>
            </w:r>
          </w:p>
        </w:tc>
        <w:tc>
          <w:tcPr>
            <w:tcW w:w="7043" w:type="dxa"/>
            <w:shd w:val="clear" w:color="auto" w:fill="auto"/>
          </w:tcPr>
          <w:p w14:paraId="2A79AEE1" w14:textId="77777777" w:rsidR="00D2071F" w:rsidRDefault="00D2071F" w:rsidP="00286C2F">
            <w:pPr>
              <w:spacing w:after="0" w:line="240" w:lineRule="auto"/>
              <w:rPr>
                <w:i/>
                <w:color w:val="627786" w:themeColor="accent3" w:themeShade="BF"/>
                <w:szCs w:val="24"/>
              </w:rPr>
            </w:pPr>
            <w:r>
              <w:rPr>
                <w:i/>
                <w:color w:val="627786" w:themeColor="accent3" w:themeShade="BF"/>
                <w:szCs w:val="24"/>
              </w:rPr>
              <w:t xml:space="preserve">Provide the location </w:t>
            </w:r>
            <w:r w:rsidR="00654247">
              <w:rPr>
                <w:i/>
                <w:color w:val="627786" w:themeColor="accent3" w:themeShade="BF"/>
                <w:szCs w:val="24"/>
              </w:rPr>
              <w:t xml:space="preserve">where your organization/company is registered. </w:t>
            </w:r>
          </w:p>
          <w:p w14:paraId="1936A736" w14:textId="77777777" w:rsidR="00D2071F" w:rsidRDefault="00D2071F" w:rsidP="00286C2F">
            <w:pPr>
              <w:spacing w:after="0" w:line="240" w:lineRule="auto"/>
              <w:rPr>
                <w:i/>
                <w:color w:val="627786" w:themeColor="accent3" w:themeShade="BF"/>
                <w:szCs w:val="24"/>
              </w:rPr>
            </w:pPr>
            <w:r>
              <w:rPr>
                <w:i/>
                <w:color w:val="627786" w:themeColor="accent3" w:themeShade="BF"/>
                <w:szCs w:val="24"/>
              </w:rPr>
              <w:t xml:space="preserve">   </w:t>
            </w:r>
          </w:p>
        </w:tc>
      </w:tr>
      <w:tr w:rsidR="00D2071F" w:rsidRPr="00D77522" w14:paraId="7DAA8182" w14:textId="77777777" w:rsidTr="00A3243E">
        <w:tc>
          <w:tcPr>
            <w:tcW w:w="1885" w:type="dxa"/>
            <w:shd w:val="clear" w:color="auto" w:fill="auto"/>
          </w:tcPr>
          <w:p w14:paraId="47C8D34F" w14:textId="77777777" w:rsidR="00D2071F" w:rsidRDefault="00654247" w:rsidP="00286C2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Website</w:t>
            </w:r>
          </w:p>
        </w:tc>
        <w:tc>
          <w:tcPr>
            <w:tcW w:w="7043" w:type="dxa"/>
            <w:shd w:val="clear" w:color="auto" w:fill="auto"/>
          </w:tcPr>
          <w:p w14:paraId="7E5F69E4" w14:textId="77777777" w:rsidR="00654247" w:rsidRDefault="00654247" w:rsidP="00654247">
            <w:pPr>
              <w:spacing w:after="0" w:line="240" w:lineRule="auto"/>
              <w:rPr>
                <w:i/>
                <w:color w:val="627786" w:themeColor="accent3" w:themeShade="BF"/>
                <w:szCs w:val="24"/>
              </w:rPr>
            </w:pPr>
            <w:r>
              <w:rPr>
                <w:i/>
                <w:color w:val="627786" w:themeColor="accent3" w:themeShade="BF"/>
                <w:szCs w:val="24"/>
              </w:rPr>
              <w:t xml:space="preserve">Provide the web link to your organization/company’s website, if available.  </w:t>
            </w:r>
          </w:p>
          <w:p w14:paraId="2D6E5B1F" w14:textId="77777777" w:rsidR="00D2071F" w:rsidRDefault="00D2071F" w:rsidP="00286C2F">
            <w:pPr>
              <w:spacing w:after="0" w:line="240" w:lineRule="auto"/>
              <w:rPr>
                <w:i/>
                <w:color w:val="627786" w:themeColor="accent3" w:themeShade="BF"/>
                <w:szCs w:val="24"/>
              </w:rPr>
            </w:pPr>
          </w:p>
        </w:tc>
      </w:tr>
      <w:tr w:rsidR="00654247" w:rsidRPr="00D77522" w14:paraId="27C55333" w14:textId="77777777" w:rsidTr="00286C2F">
        <w:tc>
          <w:tcPr>
            <w:tcW w:w="1885" w:type="dxa"/>
            <w:shd w:val="clear" w:color="auto" w:fill="auto"/>
          </w:tcPr>
          <w:p w14:paraId="113762D9" w14:textId="77777777" w:rsidR="00654247" w:rsidRDefault="00654247" w:rsidP="00286C2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Test supply</w:t>
            </w:r>
          </w:p>
        </w:tc>
        <w:tc>
          <w:tcPr>
            <w:tcW w:w="7043" w:type="dxa"/>
            <w:shd w:val="clear" w:color="auto" w:fill="auto"/>
          </w:tcPr>
          <w:p w14:paraId="14D7D3CF" w14:textId="62025107" w:rsidR="00654247" w:rsidRPr="00CA16E1" w:rsidRDefault="00654247" w:rsidP="00286C2F">
            <w:pPr>
              <w:rPr>
                <w:i/>
                <w:color w:val="627786" w:themeColor="accent3" w:themeShade="BF"/>
                <w:szCs w:val="24"/>
              </w:rPr>
            </w:pPr>
            <w:r>
              <w:rPr>
                <w:i/>
                <w:color w:val="627786" w:themeColor="accent3" w:themeShade="BF"/>
                <w:szCs w:val="24"/>
              </w:rPr>
              <w:t>Answer the following question</w:t>
            </w:r>
            <w:r w:rsidR="00CA16E1">
              <w:rPr>
                <w:i/>
                <w:color w:val="627786" w:themeColor="accent3" w:themeShade="BF"/>
                <w:szCs w:val="24"/>
              </w:rPr>
              <w:t xml:space="preserve">. </w:t>
            </w:r>
            <w:r w:rsidRPr="00654247">
              <w:rPr>
                <w:szCs w:val="24"/>
              </w:rPr>
              <w:t xml:space="preserve">Is </w:t>
            </w:r>
            <w:r w:rsidR="008242F8">
              <w:rPr>
                <w:szCs w:val="24"/>
              </w:rPr>
              <w:t>research group/</w:t>
            </w:r>
            <w:r w:rsidRPr="00654247">
              <w:rPr>
                <w:szCs w:val="24"/>
              </w:rPr>
              <w:t>organization/company the manufacturer of the test presented to FIND?</w:t>
            </w:r>
            <w:r w:rsidR="00365E6F">
              <w:rPr>
                <w:szCs w:val="24"/>
              </w:rPr>
              <w:t xml:space="preserve"> </w:t>
            </w:r>
            <w:r w:rsidRPr="00654247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8447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5E6F">
              <w:rPr>
                <w:szCs w:val="24"/>
              </w:rPr>
              <w:t xml:space="preserve">Yes  </w:t>
            </w:r>
            <w:sdt>
              <w:sdtPr>
                <w:rPr>
                  <w:szCs w:val="24"/>
                </w:rPr>
                <w:id w:val="191327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65E6F">
              <w:rPr>
                <w:szCs w:val="24"/>
              </w:rPr>
              <w:t>No</w:t>
            </w:r>
          </w:p>
          <w:p w14:paraId="36E56FC9" w14:textId="77777777" w:rsidR="00654247" w:rsidRPr="00654247" w:rsidRDefault="00654247" w:rsidP="00286C2F">
            <w:pPr>
              <w:rPr>
                <w:i/>
                <w:color w:val="627786" w:themeColor="accent3" w:themeShade="BF"/>
                <w:szCs w:val="24"/>
              </w:rPr>
            </w:pPr>
            <w:r w:rsidRPr="00654247">
              <w:rPr>
                <w:i/>
                <w:color w:val="627786" w:themeColor="accent3" w:themeShade="BF"/>
                <w:szCs w:val="24"/>
              </w:rPr>
              <w:t xml:space="preserve">If YES: please detail the location of manufacturing site and production capacity. </w:t>
            </w:r>
          </w:p>
          <w:p w14:paraId="1AFE45B8" w14:textId="77777777" w:rsidR="00654247" w:rsidRPr="00654247" w:rsidRDefault="00654247" w:rsidP="00286C2F">
            <w:pPr>
              <w:rPr>
                <w:color w:val="627786" w:themeColor="accent3" w:themeShade="BF"/>
                <w:szCs w:val="24"/>
              </w:rPr>
            </w:pPr>
            <w:r w:rsidRPr="00654247">
              <w:rPr>
                <w:i/>
                <w:color w:val="627786" w:themeColor="accent3" w:themeShade="BF"/>
                <w:szCs w:val="24"/>
              </w:rPr>
              <w:t>If NO: please describe how end-users can obtain tests.</w:t>
            </w:r>
            <w:r>
              <w:rPr>
                <w:color w:val="627786" w:themeColor="accent3" w:themeShade="BF"/>
                <w:szCs w:val="24"/>
              </w:rPr>
              <w:t xml:space="preserve"> </w:t>
            </w:r>
          </w:p>
        </w:tc>
      </w:tr>
      <w:tr w:rsidR="00654247" w:rsidRPr="00D77522" w14:paraId="6470C50C" w14:textId="77777777" w:rsidTr="0065424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9D93" w14:textId="77777777" w:rsidR="00654247" w:rsidRPr="00D77522" w:rsidRDefault="00654247" w:rsidP="00286C2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Other products available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E645" w14:textId="77777777" w:rsidR="00654247" w:rsidRPr="00CA16E1" w:rsidRDefault="00654247" w:rsidP="00286C2F">
            <w:pPr>
              <w:rPr>
                <w:i/>
                <w:color w:val="627786" w:themeColor="accent3" w:themeShade="BF"/>
                <w:szCs w:val="24"/>
              </w:rPr>
            </w:pPr>
            <w:r w:rsidRPr="00CA16E1">
              <w:rPr>
                <w:i/>
                <w:color w:val="627786" w:themeColor="accent3" w:themeShade="BF"/>
                <w:szCs w:val="24"/>
              </w:rPr>
              <w:t xml:space="preserve">List here the names of other products available, if applicable.  </w:t>
            </w:r>
          </w:p>
        </w:tc>
      </w:tr>
    </w:tbl>
    <w:p w14:paraId="55445159" w14:textId="77777777" w:rsidR="00D77522" w:rsidRPr="00D77522" w:rsidRDefault="00D77522" w:rsidP="00D77522">
      <w:pPr>
        <w:spacing w:after="0" w:line="240" w:lineRule="auto"/>
        <w:rPr>
          <w:lang w:val="en-US"/>
        </w:rPr>
      </w:pPr>
    </w:p>
    <w:sectPr w:rsidR="00D77522" w:rsidRPr="00D775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D1E4E" w14:textId="77777777" w:rsidR="00BA58C7" w:rsidRDefault="00BA58C7" w:rsidP="00E95862">
      <w:pPr>
        <w:spacing w:after="0" w:line="240" w:lineRule="auto"/>
      </w:pPr>
      <w:r>
        <w:separator/>
      </w:r>
    </w:p>
  </w:endnote>
  <w:endnote w:type="continuationSeparator" w:id="0">
    <w:p w14:paraId="64C2D94F" w14:textId="77777777" w:rsidR="00BA58C7" w:rsidRDefault="00BA58C7" w:rsidP="00E9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6AE31" w14:textId="20F82F7C" w:rsidR="00E95862" w:rsidRDefault="00CA1321">
    <w:pPr>
      <w:pStyle w:val="Footer"/>
    </w:pPr>
    <w:r>
      <w:t xml:space="preserve">Version </w:t>
    </w:r>
    <w:r w:rsidR="00132292">
      <w:t>05 Mar</w:t>
    </w:r>
    <w:r>
      <w:t xml:space="preserve"> 2019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E28C8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E28C8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E1BC2" w14:textId="77777777" w:rsidR="00BA58C7" w:rsidRDefault="00BA58C7" w:rsidP="00E95862">
      <w:pPr>
        <w:spacing w:after="0" w:line="240" w:lineRule="auto"/>
      </w:pPr>
      <w:r>
        <w:separator/>
      </w:r>
    </w:p>
  </w:footnote>
  <w:footnote w:type="continuationSeparator" w:id="0">
    <w:p w14:paraId="3FCAFFFA" w14:textId="77777777" w:rsidR="00BA58C7" w:rsidRDefault="00BA58C7" w:rsidP="00E9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43FBB" w14:textId="77777777" w:rsidR="00907280" w:rsidRDefault="00907280">
    <w:pPr>
      <w:pStyle w:val="Header"/>
    </w:pPr>
    <w:r w:rsidRPr="00365BF8">
      <w:rPr>
        <w:noProof/>
        <w:lang w:val="en-US"/>
      </w:rPr>
      <w:drawing>
        <wp:inline distT="0" distB="0" distL="0" distR="0" wp14:anchorId="716AC906" wp14:editId="28AED6EE">
          <wp:extent cx="1563833" cy="320040"/>
          <wp:effectExtent l="0" t="0" r="0" b="3810"/>
          <wp:docPr id="23" name="Picture 23" descr="\\intranet.finddx.org@SSL\DavWWWRoot\Document Center\FIND Geneva\Communications\Public\07_BRAND IDENTITY\FIND Logos\JPG_Colour\FIND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ntranet.finddx.org@SSL\DavWWWRoot\Document Center\FIND Geneva\Communications\Public\07_BRAND IDENTITY\FIND Logos\JPG_Colour\FIND_Horizonta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833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314"/>
    <w:multiLevelType w:val="hybridMultilevel"/>
    <w:tmpl w:val="A030F750"/>
    <w:lvl w:ilvl="0" w:tplc="A49A1E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6AC9"/>
    <w:multiLevelType w:val="hybridMultilevel"/>
    <w:tmpl w:val="EF48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0B9F"/>
    <w:multiLevelType w:val="hybridMultilevel"/>
    <w:tmpl w:val="97308CFA"/>
    <w:lvl w:ilvl="0" w:tplc="C602E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6072"/>
    <w:multiLevelType w:val="hybridMultilevel"/>
    <w:tmpl w:val="C4266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64718"/>
    <w:multiLevelType w:val="hybridMultilevel"/>
    <w:tmpl w:val="5540FEAE"/>
    <w:lvl w:ilvl="0" w:tplc="C602E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FA"/>
    <w:rsid w:val="0003288B"/>
    <w:rsid w:val="0004771E"/>
    <w:rsid w:val="0009055F"/>
    <w:rsid w:val="00132292"/>
    <w:rsid w:val="002129A7"/>
    <w:rsid w:val="002C0B98"/>
    <w:rsid w:val="002E134A"/>
    <w:rsid w:val="002F02D4"/>
    <w:rsid w:val="00301389"/>
    <w:rsid w:val="00324A5B"/>
    <w:rsid w:val="00365E6F"/>
    <w:rsid w:val="003C3DFC"/>
    <w:rsid w:val="003D1633"/>
    <w:rsid w:val="003E2E6D"/>
    <w:rsid w:val="0044590E"/>
    <w:rsid w:val="004770E4"/>
    <w:rsid w:val="004F1C53"/>
    <w:rsid w:val="00527EC6"/>
    <w:rsid w:val="0055409B"/>
    <w:rsid w:val="00590BEE"/>
    <w:rsid w:val="00654247"/>
    <w:rsid w:val="0074294C"/>
    <w:rsid w:val="00753865"/>
    <w:rsid w:val="007A3CD8"/>
    <w:rsid w:val="007C2B77"/>
    <w:rsid w:val="007F02FB"/>
    <w:rsid w:val="008242F8"/>
    <w:rsid w:val="00846281"/>
    <w:rsid w:val="008631F1"/>
    <w:rsid w:val="0087720C"/>
    <w:rsid w:val="008E28C8"/>
    <w:rsid w:val="008F3AFA"/>
    <w:rsid w:val="00907280"/>
    <w:rsid w:val="0097156D"/>
    <w:rsid w:val="009962AB"/>
    <w:rsid w:val="009B3411"/>
    <w:rsid w:val="009C690B"/>
    <w:rsid w:val="009C6DE7"/>
    <w:rsid w:val="00A26CD0"/>
    <w:rsid w:val="00A3243E"/>
    <w:rsid w:val="00A86197"/>
    <w:rsid w:val="00AB7802"/>
    <w:rsid w:val="00B302F2"/>
    <w:rsid w:val="00B86333"/>
    <w:rsid w:val="00BA58C7"/>
    <w:rsid w:val="00C40480"/>
    <w:rsid w:val="00CA1321"/>
    <w:rsid w:val="00CA16E1"/>
    <w:rsid w:val="00CA7EEA"/>
    <w:rsid w:val="00CD1733"/>
    <w:rsid w:val="00CF4EE3"/>
    <w:rsid w:val="00D2071F"/>
    <w:rsid w:val="00D37675"/>
    <w:rsid w:val="00D479C6"/>
    <w:rsid w:val="00D5450D"/>
    <w:rsid w:val="00D77522"/>
    <w:rsid w:val="00E95862"/>
    <w:rsid w:val="00EE50FA"/>
    <w:rsid w:val="00F01095"/>
    <w:rsid w:val="00F45671"/>
    <w:rsid w:val="00FB7C8D"/>
    <w:rsid w:val="00FE16C9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F22D6"/>
  <w15:chartTrackingRefBased/>
  <w15:docId w15:val="{9AF95C31-3CA0-4276-A83E-0EAFD1BC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62"/>
  </w:style>
  <w:style w:type="paragraph" w:styleId="Footer">
    <w:name w:val="footer"/>
    <w:basedOn w:val="Normal"/>
    <w:link w:val="FooterChar"/>
    <w:uiPriority w:val="99"/>
    <w:unhideWhenUsed/>
    <w:rsid w:val="00E9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62"/>
  </w:style>
  <w:style w:type="character" w:styleId="Hyperlink">
    <w:name w:val="Hyperlink"/>
    <w:basedOn w:val="DefaultParagraphFont"/>
    <w:uiPriority w:val="99"/>
    <w:unhideWhenUsed/>
    <w:rsid w:val="00E958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1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ssandra.kelly@finddx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vy.emperador@finddx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evy.emperador@finddx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IND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A2259"/>
      </a:accent1>
      <a:accent2>
        <a:srgbClr val="43ABB6"/>
      </a:accent2>
      <a:accent3>
        <a:srgbClr val="8C9EAB"/>
      </a:accent3>
      <a:accent4>
        <a:srgbClr val="CD4652"/>
      </a:accent4>
      <a:accent5>
        <a:srgbClr val="D3553F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90392F5457D4FB8DFF3C76C722EE8" ma:contentTypeVersion="4" ma:contentTypeDescription="Create a new document." ma:contentTypeScope="" ma:versionID="4b0034f2bcad660de7f4ccc32c8661c2">
  <xsd:schema xmlns:xsd="http://www.w3.org/2001/XMLSchema" xmlns:xs="http://www.w3.org/2001/XMLSchema" xmlns:p="http://schemas.microsoft.com/office/2006/metadata/properties" xmlns:ns2="bdd9093d-d497-4070-92ea-5faf0aa8685a" targetNamespace="http://schemas.microsoft.com/office/2006/metadata/properties" ma:root="true" ma:fieldsID="34fcf8ad56dda5f3e91e73d9f6eff87e" ns2:_="">
    <xsd:import namespace="bdd9093d-d497-4070-92ea-5faf0aa8685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093d-d497-4070-92ea-5faf0aa8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59A71-3C38-41B5-AB9C-2B88475F1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9093d-d497-4070-92ea-5faf0aa8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4F850-8402-4DC9-BD3A-581ADDB9E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2889D-2320-4878-BCD4-B0FDCA99E700}">
  <ds:schemaRefs>
    <ds:schemaRef ds:uri="http://schemas.microsoft.com/office/2006/documentManagement/types"/>
    <ds:schemaRef ds:uri="http://purl.org/dc/dcmitype/"/>
    <ds:schemaRef ds:uri="bdd9093d-d497-4070-92ea-5faf0aa8685a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 Emperador</dc:creator>
  <cp:keywords/>
  <dc:description/>
  <cp:lastModifiedBy>Beatrice Gordis</cp:lastModifiedBy>
  <cp:revision>4</cp:revision>
  <cp:lastPrinted>2019-03-08T14:28:00Z</cp:lastPrinted>
  <dcterms:created xsi:type="dcterms:W3CDTF">2019-03-08T14:23:00Z</dcterms:created>
  <dcterms:modified xsi:type="dcterms:W3CDTF">2019-03-08T14:29:00Z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0x01010020390392F5457D4FB8DFF3C76C722EE8</vt:lpwstr>
  </property>
</Properties>
</file>